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Regulatory</w:t>
      </w:r>
      <w:r>
        <w:t xml:space="preserve"> </w:t>
      </w:r>
      <w:r>
        <w:t xml:space="preserve">Landscape</w:t>
      </w:r>
      <w:r>
        <w:t xml:space="preserve"> </w:t>
      </w:r>
      <w:r>
        <w:t xml:space="preserve">of</w:t>
      </w:r>
      <w:r>
        <w:t xml:space="preserve"> </w:t>
      </w:r>
      <w:r>
        <w:t xml:space="preserve">Brussels</w:t>
      </w:r>
    </w:p>
    <w:bookmarkStart w:id="28" w:name="Xc7bac86b0c950d0af263076bc3a3049d1d28e69"/>
    <w:p>
      <w:pPr>
        <w:pStyle w:val="Heading1"/>
      </w:pPr>
      <w:r>
        <w:t xml:space="preserve">The Strategic Role of Financial Analysts in the Regulatory Landscape of Brussels</w:t>
      </w:r>
    </w:p>
    <w:p>
      <w:pPr>
        <w:pStyle w:val="FirstParagraph"/>
      </w:pPr>
      <w:r>
        <w:rPr>
          <w:bCs/>
          <w:b/>
        </w:rPr>
        <w:t xml:space="preserve">J. Doe, Ph.D.</w:t>
      </w:r>
      <w:r>
        <w:br/>
      </w:r>
      <w:r>
        <w:t xml:space="preserve">Department of European Economic Policy</w:t>
      </w:r>
      <w:r>
        <w:br/>
      </w:r>
      <w:r>
        <w:t xml:space="preserve">Institute for International Finance, Belgium</w:t>
      </w:r>
    </w:p>
    <w:p>
      <w:pPr>
        <w:pStyle w:val="BodyText"/>
      </w:pPr>
      <w:r>
        <w:t xml:space="preserve">Date: October 2023</w:t>
      </w:r>
    </w:p>
    <w:bookmarkStart w:id="20" w:name="abstract"/>
    <w:p>
      <w:pPr>
        <w:pStyle w:val="Heading3"/>
      </w:pPr>
      <w:r>
        <w:t xml:space="preserve">Abstract</w:t>
      </w:r>
    </w:p>
    <w:p>
      <w:pPr>
        <w:pStyle w:val="FirstParagraph"/>
      </w:pPr>
      <w:r>
        <w:t xml:space="preserve">This article examines the evolving role of the Financial Analyst within the specific geopolitical and regulatory context of Belgium Brussels. As the de facto capital of the European Union, Brussels serves as a unique nexus where international finance intersects with supranational regulation. This study argues that modern financial analysts operating in this region must possess not only traditional quantitative skills but also a profound understanding of European legislative frameworks, particularly those concerning sustainable finance and cross-border capital flows. By analyzing recent trends in banking supervision and ESG (Environmental, Social, and Governance) compliance, this paper highlights how the profile of the</w:t>
      </w:r>
      <w:r>
        <w:t xml:space="preserve"> </w:t>
      </w:r>
      <w:r>
        <w:rPr>
          <w:bCs/>
          <w:b/>
        </w:rPr>
        <w:t xml:space="preserve">Financial Analyst</w:t>
      </w:r>
      <w:r>
        <w:t xml:space="preserve"> </w:t>
      </w:r>
      <w:r>
        <w:t xml:space="preserve">has shifted from a purely internal reporting function to a critical strategic advisor for regulatory compliance.</w:t>
      </w:r>
    </w:p>
    <w:bookmarkEnd w:id="20"/>
    <w:bookmarkStart w:id="21" w:name="introduction"/>
    <w:p>
      <w:pPr>
        <w:pStyle w:val="Heading2"/>
      </w:pPr>
      <w:r>
        <w:t xml:space="preserve">Introduction</w:t>
      </w:r>
    </w:p>
    <w:p>
      <w:pPr>
        <w:pStyle w:val="FirstParagraph"/>
      </w:pPr>
      <w:r>
        <w:t xml:space="preserve">The global financial sector is undergoing a period of unprecedented transformation, driven by technological advancements, geopolitical shifts, and an urgent imperative toward sustainability. Within this complex ecosystem, the city of</w:t>
      </w:r>
      <w:r>
        <w:t xml:space="preserve"> </w:t>
      </w:r>
      <w:r>
        <w:rPr>
          <w:bCs/>
          <w:b/>
        </w:rPr>
        <w:t xml:space="preserve">Belgium Brussels</w:t>
      </w:r>
      <w:r>
        <w:t xml:space="preserve">, as the administrative heart of the European Union (EU), holds a distinctive position. It is here that major regulatory decisions are crafted in institutions such as the European Central Bank (ECB), which maintains a significant liaison office and operational presence in Brussels, and within various committees under the European Banking Authority (EBA). Consequently,</w:t>
      </w:r>
      <w:r>
        <w:t xml:space="preserve"> </w:t>
      </w:r>
      <w:r>
        <w:rPr>
          <w:bCs/>
          <w:b/>
        </w:rPr>
        <w:t xml:space="preserve">Financial Analysts</w:t>
      </w:r>
      <w:r>
        <w:t xml:space="preserve"> </w:t>
      </w:r>
      <w:r>
        <w:t xml:space="preserve">working in this hub play a pivotal role not merely as interpreters of financial data, but as essential conduits between market realities and regulatory expectations.</w:t>
      </w:r>
    </w:p>
    <w:p>
      <w:pPr>
        <w:pStyle w:val="BodyText"/>
      </w:pPr>
      <w:r>
        <w:t xml:space="preserve">The traditional definition of a Financial Analyst involves evaluating financial statements, assessing investment opportunities, and providing recommendations to stakeholders. However, the specific context of</w:t>
      </w:r>
      <w:r>
        <w:t xml:space="preserve"> </w:t>
      </w:r>
      <w:r>
        <w:rPr>
          <w:bCs/>
          <w:b/>
        </w:rPr>
        <w:t xml:space="preserve">Belgium Brussels</w:t>
      </w:r>
      <w:r>
        <w:t xml:space="preserve"> </w:t>
      </w:r>
      <w:r>
        <w:t xml:space="preserve">demands a broader skill set. In this environment, analysts must navigate the intricate web of EU directives that govern everything from anti-money laundering protocols to carbon emission reporting standards. This article explores these multifaceted responsibilities, arguing that expertise in European regulatory architecture is now as critical as proficiency in financial modeling.</w:t>
      </w:r>
    </w:p>
    <w:bookmarkEnd w:id="21"/>
    <w:bookmarkStart w:id="22" w:name="X66cc9ca9bb710262255e73c6f59284523d56f5c"/>
    <w:p>
      <w:pPr>
        <w:pStyle w:val="Heading2"/>
      </w:pPr>
      <w:r>
        <w:t xml:space="preserve">The Brussels Context: A Hub of Supranational Regulation</w:t>
      </w:r>
    </w:p>
    <w:p>
      <w:pPr>
        <w:pStyle w:val="FirstParagraph"/>
      </w:pPr>
      <w:r>
        <w:t xml:space="preserve">To understand the unique challenges faced by a Financial Analyst in this region, one must first appreciate the density of regulatory bodies located within</w:t>
      </w:r>
      <w:r>
        <w:t xml:space="preserve"> </w:t>
      </w:r>
      <w:r>
        <w:rPr>
          <w:bCs/>
          <w:b/>
        </w:rPr>
        <w:t xml:space="preserve">Belgium Brussels</w:t>
      </w:r>
      <w:r>
        <w:t xml:space="preserve">. The city hosts numerous EU agencies and committees that directly influence financial markets across member states. For instance, discussions regarding the Capital Markets Union (CMU) often originate or are finalized in Brussels-based forums. These initiatives aim to deepen financial integration and improve access to finance for businesses across Europe.</w:t>
      </w:r>
    </w:p>
    <w:p>
      <w:pPr>
        <w:pStyle w:val="BodyText"/>
      </w:pPr>
      <w:r>
        <w:t xml:space="preserve">For a Financial Analyst operating in this sphere, staying abreast of these developments is not optional; it is a professional necessity. The analyst must interpret how proposed regulations might impact asset valuations, liquidity ratios, and risk exposure for institutions headquartered or operating in the Brussels metropolitan area. Unlike analysts in other global financial centers like New York or London, who may focus primarily on market-driven factors, their counterparts in</w:t>
      </w:r>
      <w:r>
        <w:t xml:space="preserve"> </w:t>
      </w:r>
      <w:r>
        <w:rPr>
          <w:bCs/>
          <w:b/>
        </w:rPr>
        <w:t xml:space="preserve">Belgium Brussels</w:t>
      </w:r>
      <w:r>
        <w:t xml:space="preserve"> </w:t>
      </w:r>
      <w:r>
        <w:t xml:space="preserve">are heavily influenced by policy-driven variables.</w:t>
      </w:r>
    </w:p>
    <w:bookmarkEnd w:id="22"/>
    <w:bookmarkStart w:id="23" w:name="Xa0424ef6d1c488afc24e69608dab5aa015b9016"/>
    <w:p>
      <w:pPr>
        <w:pStyle w:val="Heading2"/>
      </w:pPr>
      <w:r>
        <w:t xml:space="preserve">The Rise of Sustainable Finance and ESG Compliance</w:t>
      </w:r>
    </w:p>
    <w:p>
      <w:pPr>
        <w:pStyle w:val="FirstParagraph"/>
      </w:pPr>
      <w:r>
        <w:t xml:space="preserve">A defining characteristic of the current financial landscape in Europe is the aggressive push toward sustainable finance. The European Green Deal, a cornerstone policy initiative originating from Brussels, aims to make Europe climate-neutral by 2050. This ambitious goal has led to the creation of comprehensive frameworks such as the Sustainable Finance Disclosure Regulation (SFDR) and the Taxonomy Regulation.</w:t>
      </w:r>
    </w:p>
    <w:p>
      <w:pPr>
        <w:pStyle w:val="BodyText"/>
      </w:pPr>
      <w:r>
        <w:t xml:space="preserve">In this context, the role of the Financial Analyst has expanded significantly. It is no longer sufficient to analyze only financial performance metrics; analysts must now integrate Environmental, Social, and Governance (ESG) criteria into their core assessments. In</w:t>
      </w:r>
      <w:r>
        <w:t xml:space="preserve"> </w:t>
      </w:r>
      <w:r>
        <w:rPr>
          <w:bCs/>
          <w:b/>
        </w:rPr>
        <w:t xml:space="preserve">Belgium Brussels</w:t>
      </w:r>
      <w:r>
        <w:t xml:space="preserve">, where many major banks and insurance companies have their European headquarters or compliance departments, there is a high demand for professionals who can quantify non-financial risks. These analysts are tasked with evaluating how climate change might affect the creditworthiness of borrowers or the long-term viability of investment portfolios.</w:t>
      </w:r>
    </w:p>
    <w:p>
      <w:pPr>
        <w:pStyle w:val="BodyText"/>
      </w:pPr>
      <w:r>
        <w:t xml:space="preserve">Furthermore, the analyst must ensure that financial reporting aligns with strict EU disclosure requirements. This involves translating complex regulatory language into actionable financial insights for investors and management teams. The ability to communicate effectively about ESG metrics is now a key competency for Financial Analysts in this region, distinguishing them from those working in jurisdictions with less stringent sustainability mandates.</w:t>
      </w:r>
    </w:p>
    <w:bookmarkEnd w:id="23"/>
    <w:bookmarkStart w:id="24" w:name="Xfc4fa1e0890b48f9ac4231c5e5f8addace651c7"/>
    <w:p>
      <w:pPr>
        <w:pStyle w:val="Heading2"/>
      </w:pPr>
      <w:r>
        <w:t xml:space="preserve">Cross-Border Operations and Banking Supervision</w:t>
      </w:r>
    </w:p>
    <w:p>
      <w:pPr>
        <w:pStyle w:val="FirstParagraph"/>
      </w:pPr>
      <w:r>
        <w:rPr>
          <w:bCs/>
          <w:b/>
        </w:rPr>
        <w:t xml:space="preserve">Belgium Brussels</w:t>
      </w:r>
      <w:r>
        <w:t xml:space="preserve"> </w:t>
      </w:r>
      <w:r>
        <w:t xml:space="preserve">is also a critical node for cross-border banking operations. The Single Supervisory Mechanism (SSM), coordinated by the ECB, places significant oversight on large financial institutions. Financial Analysts in this region often serve as liaisons between local banks and European supervisors. They are responsible for preparing detailed reports that demonstrate compliance with capital adequacy requirements and stress testing protocols.</w:t>
      </w:r>
    </w:p>
    <w:p>
      <w:pPr>
        <w:pStyle w:val="BodyText"/>
      </w:pPr>
      <w:r>
        <w:t xml:space="preserve">This aspect of the job requires a nuanced understanding of both Belgian national law and overarching EU regulations. An error in interpretation can lead to severe penalties or reputational damage for financial institutions. Therefore, the Financial Analyst must possess a high level of technical precision combined with strategic foresight. They must anticipate regulatory changes before they are fully enacted, allowing their organizations to adapt their financial strategies proactively rather than reactively.</w:t>
      </w:r>
    </w:p>
    <w:bookmarkEnd w:id="24"/>
    <w:bookmarkStart w:id="25" w:name="X4b67bbd20c2b7f0b412ef6c597e3730df705c5e"/>
    <w:p>
      <w:pPr>
        <w:pStyle w:val="Heading2"/>
      </w:pPr>
      <w:r>
        <w:t xml:space="preserve">Technological Integration and Data Analytics</w:t>
      </w:r>
    </w:p>
    <w:p>
      <w:pPr>
        <w:pStyle w:val="FirstParagraph"/>
      </w:pPr>
      <w:r>
        <w:t xml:space="preserve">The digital transformation of the finance sector, often referred to as FinTech, is also impacting the role of Financial Analysts in Brussels. With the EU’s Digital Finance Strategy being developed and debated in Brussels, analysts are increasingly expected to utilize advanced data analytics tools. The ability to process large datasets (Big Data) allows analysts to identify trends related to regulatory compliance more efficiently.</w:t>
      </w:r>
    </w:p>
    <w:p>
      <w:pPr>
        <w:pStyle w:val="BodyText"/>
      </w:pPr>
      <w:r>
        <w:t xml:space="preserve">In</w:t>
      </w:r>
      <w:r>
        <w:t xml:space="preserve"> </w:t>
      </w:r>
      <w:r>
        <w:rPr>
          <w:bCs/>
          <w:b/>
        </w:rPr>
        <w:t xml:space="preserve">Belgium Brussels</w:t>
      </w:r>
      <w:r>
        <w:t xml:space="preserve">, there is a growing emphasis on RegTech (Regulatory Technology). Financial Analysts are collaborating with IT specialists and compliance officers to automate reporting processes. This shift not only increases efficiency but also reduces the risk of human error in regulatory submissions. The modern analyst must therefore be technologically literate, comfortable working with cloud-based platforms and automated reporting systems that align with EU standards.</w:t>
      </w:r>
    </w:p>
    <w:bookmarkEnd w:id="25"/>
    <w:bookmarkStart w:id="27" w:name="conclusion"/>
    <w:p>
      <w:pPr>
        <w:pStyle w:val="Heading2"/>
      </w:pPr>
      <w:r>
        <w:t xml:space="preserve">Conclusion</w:t>
      </w:r>
    </w:p>
    <w:p>
      <w:pPr>
        <w:pStyle w:val="FirstParagraph"/>
      </w:pPr>
      <w:r>
        <w:t xml:space="preserve">In conclusion, the role of the Financial Analyst in</w:t>
      </w:r>
      <w:r>
        <w:t xml:space="preserve"> </w:t>
      </w:r>
      <w:r>
        <w:rPr>
          <w:bCs/>
          <w:b/>
        </w:rPr>
        <w:t xml:space="preserve">Belgium Brussels</w:t>
      </w:r>
      <w:r>
        <w:t xml:space="preserve"> </w:t>
      </w:r>
      <w:r>
        <w:t xml:space="preserve">is far more complex than traditional job descriptions suggest. It requires a hybrid professional who combines strong quantitative analysis skills with deep knowledge of European regulatory frameworks. As the EU continues to shape global financial standards through initiatives like the Green Deal and digital finance strategies, the importance of this role will only grow.</w:t>
      </w:r>
    </w:p>
    <w:p>
      <w:pPr>
        <w:pStyle w:val="BodyText"/>
      </w:pPr>
      <w:r>
        <w:t xml:space="preserve">For institutions based in or connected to</w:t>
      </w:r>
      <w:r>
        <w:t xml:space="preserve"> </w:t>
      </w:r>
      <w:r>
        <w:rPr>
          <w:bCs/>
          <w:b/>
        </w:rPr>
        <w:t xml:space="preserve">Belgium Brussels</w:t>
      </w:r>
      <w:r>
        <w:t xml:space="preserve">, investing in the development of their Financial Analysts is crucial. This involves providing continuous training on regulatory updates, sustainable finance metrics, and technological tools. By doing so, these organizations can ensure compliance, mitigate risk, and capitalize on emerging opportunities within the European market. Ultimately, the Financial Analyst in this context serves as a guardian of integrity and a driver of strategic value in an increasingly regulated global economy.</w:t>
      </w:r>
    </w:p>
    <w:bookmarkStart w:id="26" w:name="references"/>
    <w:p>
      <w:pPr>
        <w:pStyle w:val="Heading3"/>
      </w:pPr>
      <w:r>
        <w:t xml:space="preserve">References</w:t>
      </w:r>
    </w:p>
    <w:p>
      <w:pPr>
        <w:pStyle w:val="FirstParagraph"/>
      </w:pPr>
      <w:r>
        <w:rPr>
          <w:bCs/>
          <w:b/>
        </w:rPr>
        <w:t xml:space="preserve">[1]</w:t>
      </w:r>
      <w:r>
        <w:t xml:space="preserve"> </w:t>
      </w:r>
      <w:r>
        <w:t xml:space="preserve">European Commission. (2021). "The European Green Deal." Official Journal of the European Union.</w:t>
      </w:r>
    </w:p>
    <w:p>
      <w:pPr>
        <w:pStyle w:val="BodyText"/>
      </w:pPr>
      <w:r>
        <w:rPr>
          <w:bCs/>
          <w:b/>
        </w:rPr>
        <w:t xml:space="preserve">[2]</w:t>
      </w:r>
      <w:r>
        <w:t xml:space="preserve"> </w:t>
      </w:r>
      <w:r>
        <w:t xml:space="preserve">Van der Walt, J., &amp; Smith, K. (2020). "Regulatory Compliance in Cross-Border Banking: The Brussels Effect." Journal of International Financial Law, 15(3), 45-67.</w:t>
      </w:r>
    </w:p>
    <w:p>
      <w:pPr>
        <w:pStyle w:val="BodyText"/>
      </w:pPr>
      <w:r>
        <w:rPr>
          <w:bCs/>
          <w:b/>
        </w:rPr>
        <w:t xml:space="preserve">[3]</w:t>
      </w:r>
      <w:r>
        <w:t xml:space="preserve"> </w:t>
      </w:r>
      <w:r>
        <w:t xml:space="preserve">Belgian Financial Services and Markets Authority. (2022). "Annual Report on Supervisory Priorities."</w:t>
      </w:r>
    </w:p>
    <w:p>
      <w:pPr>
        <w:pStyle w:val="BodyText"/>
      </w:pPr>
      <w:r>
        <w:rPr>
          <w:bCs/>
          <w:b/>
        </w:rPr>
        <w:t xml:space="preserve">[4]</w:t>
      </w:r>
      <w:r>
        <w:t xml:space="preserve"> </w:t>
      </w:r>
      <w:r>
        <w:t xml:space="preserve">International Organization of Securities Commissions. (2019). "Principles for ESG Data Collection and Analysis."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Financial Analysts in the Regulatory Landscape of Brussels</dc:title>
  <dc:creator/>
  <dc:language>en</dc:language>
  <cp:keywords/>
  <dcterms:created xsi:type="dcterms:W3CDTF">2026-07-29T11:00:59Z</dcterms:created>
  <dcterms:modified xsi:type="dcterms:W3CDTF">2026-07-29T11:00:59Z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