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Germany</w:t>
      </w:r>
      <w:r>
        <w:t xml:space="preserve"> </w:t>
      </w:r>
      <w:r>
        <w:t xml:space="preserve">Frankfurt</w:t>
      </w:r>
    </w:p>
    <w:bookmarkStart w:id="27" w:name="X400b72b16dbe07d90e8789945fdeb92acd11148"/>
    <w:p>
      <w:pPr>
        <w:pStyle w:val="Heading1"/>
      </w:pPr>
      <w:r>
        <w:t xml:space="preserve">The Role of the Financial Analyst in the Economic Landscape of Germany Frankfurt: Strategic Imperatives and Methodological Rigor</w:t>
      </w:r>
    </w:p>
    <w:p>
      <w:pPr>
        <w:pStyle w:val="FirstParagraph"/>
      </w:pPr>
      <w:r>
        <w:rPr>
          <w:bCs/>
          <w:b/>
        </w:rPr>
        <w:t xml:space="preserve">Author:</w:t>
      </w:r>
      <w:r>
        <w:t xml:space="preserve"> </w:t>
      </w:r>
      <w:r>
        <w:t xml:space="preserve">Dr. Elena Weber</w:t>
      </w:r>
      <w:r>
        <w:br/>
      </w:r>
      <w:r>
        <w:rPr>
          <w:iCs/>
          <w:i/>
        </w:rPr>
        <w:t xml:space="preserve">Institute for European Finance and Economic Strategy, Frankfurt am Main</w:t>
      </w:r>
    </w:p>
    <w:p>
      <w:pPr>
        <w:pStyle w:val="BodyText"/>
      </w:pPr>
      <w:r>
        <w:rPr>
          <w:bCs/>
          <w:b/>
        </w:rPr>
        <w:t xml:space="preserve">Abstract</w:t>
      </w:r>
      <w:r>
        <w:t xml:space="preserve">: This article examines the critical function of the Financial Analyst within the dynamic economic ecosystem of Germany Frankfurt. As a global hub for banking, finance, and technology services in Europe, Frankfurt demands a heightened standard of analytical precision from financial professionals. This paper explores the evolving responsibilities of the Financial Analyst in this specific geographic context, addressing regulatory frameworks under German law (WpHG), the impact of European Central Bank policies on local asset valuation, and the integration of advanced data analytics into traditional financial modeling. Furthermore, it evaluates how analysts in Frankfurt must navigate cross-border capital flows while maintaining strict adherence to international reporting standards.</w:t>
      </w:r>
    </w:p>
    <w:p>
      <w:pPr>
        <w:pStyle w:val="BodyText"/>
      </w:pPr>
      <w:r>
        <w:rPr>
          <w:bCs/>
          <w:b/>
        </w:rPr>
        <w:t xml:space="preserve">Keywords</w:t>
      </w:r>
      <w:r>
        <w:t xml:space="preserve">: Financial Analyst, Germany Frankfurt, European Capital Markets, Regulatory Compliance (WpHG), Valuation Modeling, ESG Integration.</w:t>
      </w:r>
    </w:p>
    <w:bookmarkStart w:id="20" w:name="i.-introduction"/>
    <w:p>
      <w:pPr>
        <w:pStyle w:val="Heading2"/>
      </w:pPr>
      <w:r>
        <w:t xml:space="preserve">I. Introduction</w:t>
      </w:r>
    </w:p>
    <w:p>
      <w:pPr>
        <w:pStyle w:val="FirstParagraph"/>
      </w:pPr>
      <w:r>
        <w:t xml:space="preserve">The city of Germany Frankfurt stands as the undisputed financial heart of continental Europe. Hosting the European Central Bank (ECB) and numerous major German and international banks, Frankfurt is not merely a geographic location but a complex economic organism that requires sophisticated oversight. At the core of this oversight mechanism lies the Financial Analyst, a professional whose role has transcended traditional data aggregation to become central to strategic decision-making processes. In recent years, the demand for specialized financial expertise in Germany Frankfurt has intensified due to increasing market volatility, regulatory tightening post-2008 and post-2015 reforms, and the digital transformation of financial services.</w:t>
      </w:r>
    </w:p>
    <w:p>
      <w:pPr>
        <w:pStyle w:val="BodyText"/>
      </w:pPr>
      <w:r>
        <w:t xml:space="preserve">This article argues that the modern Financial Analyst operating in Germany Frankfurt must possess a tripartite skill set: technical proficiency in quantitative analysis, deep knowledge of local regulatory environments specific to Germany, and an acute understanding of macroeconomic trends driven by European monetary policy. The following sections delve into these dimensions, providing a comprehensive overview of the professional landscape.</w:t>
      </w:r>
    </w:p>
    <w:bookmarkEnd w:id="20"/>
    <w:bookmarkStart w:id="21" w:name="X1d001f5802fecc63d56fb4fa28a6872d21ad2b8"/>
    <w:p>
      <w:pPr>
        <w:pStyle w:val="Heading2"/>
      </w:pPr>
      <w:r>
        <w:t xml:space="preserve">II. Regulatory Frameworks and Compliance in Germany Frankfurt</w:t>
      </w:r>
    </w:p>
    <w:p>
      <w:pPr>
        <w:pStyle w:val="FirstParagraph"/>
      </w:pPr>
      <w:r>
        <w:t xml:space="preserve">A distinct characteristic of the Financial Analyst role in Germany Frankfurt is the stringent regulatory environment enforced by BaFin (the Federal Financial Supervisory Authority) and aligned with European Union directives such as MiFID II (Markets in Financial Instruments Directive). Unlike analysts operating in jurisdictions with lighter regulatory burdens, professionals in Germany Frankfurt must ensure that all financial advice, risk assessments, and investment recommendations comply with rigorous transparency and suitability standards.</w:t>
      </w:r>
    </w:p>
    <w:p>
      <w:pPr>
        <w:pStyle w:val="BodyText"/>
      </w:pPr>
      <w:r>
        <w:t xml:space="preserve">For instance, when conducting equity research on DAX-listed companies headquartered or heavily traded in Germany Frankfurt, the analyst must navigate complex disclosure requirements. The German Securities Trading Act (Wertpapierhandelsgesetz - WpHG) imposes strict rules regarding insider information and conflict of interest management. Therefore, the Financial Analyst is not only responsible for predicting market movements but also for embedding compliance checks into every stage of the analytical workflow. This regulatory burden adds a layer of complexity that distinguishes the Frankfurt-based analyst from their counterparts in less regulated markets.</w:t>
      </w:r>
    </w:p>
    <w:bookmarkEnd w:id="21"/>
    <w:bookmarkStart w:id="22" w:name="X5755e4f9ffd399d2e43e2fdca01c1447135ee75"/>
    <w:p>
      <w:pPr>
        <w:pStyle w:val="Heading2"/>
      </w:pPr>
      <w:r>
        <w:t xml:space="preserve">III. Macroeconomic Influences and Monetary Policy Transmission</w:t>
      </w:r>
    </w:p>
    <w:p>
      <w:pPr>
        <w:pStyle w:val="FirstParagraph"/>
      </w:pPr>
      <w:r>
        <w:t xml:space="preserve">The proximity to the European Central Bank fundamentally shapes the work of any Financial Analyst in Germany Frankfurt. Since ECB policy decisions directly influence interest rates, liquidity conditions, and currency valuations across the Eurozone, analysts must possess a sophisticated understanding of monetary transmission mechanisms. In Frankfurt’s high-frequency trading environment, even minor deviations from ECB guidance can cause significant asset repricing.</w:t>
      </w:r>
    </w:p>
    <w:p>
      <w:pPr>
        <w:pStyle w:val="BodyText"/>
      </w:pPr>
      <w:r>
        <w:t xml:space="preserve">Consequently, the Financial Analyst must integrate macroeconomic indicators—such as inflation rates (HICP), unemployment figures in Germany and the broader Eurozone, and GDP growth projections—into localized financial models. For example, when analyzing real estate investment trusts (REITs) or mortgage-backed securities prevalent in Frankfurt’s market, analysts must forecast how ECB quantitative easing or tightening policies will impact borrowing costs for German corporations. This requires a nuanced approach where global macro trends are translated into specific corporate financial health indicators.</w:t>
      </w:r>
    </w:p>
    <w:bookmarkEnd w:id="22"/>
    <w:bookmarkStart w:id="23" w:name="X1bea700faa309211277f512c23292d60c348d9e"/>
    <w:p>
      <w:pPr>
        <w:pStyle w:val="Heading2"/>
      </w:pPr>
      <w:r>
        <w:t xml:space="preserve">IV. Technological Integration and Data Analytics</w:t>
      </w:r>
    </w:p>
    <w:p>
      <w:pPr>
        <w:pStyle w:val="FirstParagraph"/>
      </w:pPr>
      <w:r>
        <w:t xml:space="preserve">The traditional role of the Financial Analyst, characterized by manual spreadsheet modeling and historical ratio analysis, has been rapidly evolving in Germany Frankfurt. The city’s status as a fintech hub necessitates the adoption of advanced analytical tools. Modern analysts are expected to be proficient in Python, R, or specialized software like Bloomberg Terminal and Refinitiv Eikon to process large datasets efficiently.</w:t>
      </w:r>
    </w:p>
    <w:p>
      <w:pPr>
        <w:pStyle w:val="BodyText"/>
      </w:pPr>
      <w:r>
        <w:t xml:space="preserve">In Germany Frankfurt, where algorithmic trading constitutes a significant portion of daily volume, human analysts play a crucial role in validating algorithmic outputs and identifying structural market anomalies. The integration of machine learning models allows Financial Analysts to detect patterns in consumer behavior across German retail sectors or assess credit risk for SMEs (Small and Medium-sized Enterprises) more accurately than traditional statistical methods alone. However, this technological shift also raises ethical questions regarding data privacy under the General Data Protection Regulation (GDPR), requiring analysts to handle customer financial data with heightened security protocols.</w:t>
      </w:r>
    </w:p>
    <w:bookmarkEnd w:id="23"/>
    <w:bookmarkStart w:id="24" w:name="X9a9300e4a2c6acb294781dd049c163efb3beacf"/>
    <w:p>
      <w:pPr>
        <w:pStyle w:val="Heading2"/>
      </w:pPr>
      <w:r>
        <w:t xml:space="preserve">V. Environmental, Social, and Governance (ESG) Integration</w:t>
      </w:r>
    </w:p>
    <w:p>
      <w:pPr>
        <w:pStyle w:val="FirstParagraph"/>
      </w:pPr>
      <w:r>
        <w:t xml:space="preserve">Perhaps the most transformative development for Financial Analysts in recent years is the mainstreaming of ESG factors into investment analysis. Germany has positioned itself as a leader in sustainable finance within Europe, and Frankfurt serves as the primary marketplace for green bonds and sustainability-linked loans. For an analyst based in Germany Frankfurt, ignoring ESG metrics is no longer optional; it is a fiduciary duty.</w:t>
      </w:r>
    </w:p>
    <w:p>
      <w:pPr>
        <w:pStyle w:val="BodyText"/>
      </w:pPr>
      <w:r>
        <w:t xml:space="preserve">Analysts must now evaluate companies not just on their Earnings Before Interest, Taxes, Depreciation, and Amortization (EBITDA) but also on their carbon footprint, labor practices in supply chains (particularly relevant for German manufacturing exports), and corporate governance structures. The Frankfurt School of Finance &amp; Management has recently emphasized that ESG integration reduces long-term risk profiles. Therefore, the Financial Analyst’s report must include a dedicated section on sustainability risks, assessing how climate change regulations might impact asset valuations in sectors such as automotive and energy.</w:t>
      </w:r>
    </w:p>
    <w:bookmarkEnd w:id="24"/>
    <w:bookmarkStart w:id="25" w:name="vi.-conclusion"/>
    <w:p>
      <w:pPr>
        <w:pStyle w:val="Heading2"/>
      </w:pPr>
      <w:r>
        <w:t xml:space="preserve">VI. Conclusion</w:t>
      </w:r>
    </w:p>
    <w:p>
      <w:pPr>
        <w:pStyle w:val="FirstParagraph"/>
      </w:pPr>
      <w:r>
        <w:t xml:space="preserve">In conclusion, the position of the Financial Analyst in Germany Frankfurt is one of critical importance within the broader European financial architecture. It is a role that demands more than numerical competence; it requires a holistic understanding of regulatory compliance, macroeconomic policy transmission, technological innovation, and sustainable finance. As Germany Frankfurt continues to solidify its reputation as a premier global financial center, the expectations placed upon Financial Analysts will only continue to rise.</w:t>
      </w:r>
    </w:p>
    <w:p>
      <w:pPr>
        <w:pStyle w:val="BodyText"/>
      </w:pPr>
      <w:r>
        <w:t xml:space="preserve">Future research should focus on the long-term impact of artificial intelligence on job displacement versus augmentation in this specific geographic market. Nevertheless, current evidence suggests that while technology automates routine tasks, it elevates the strategic value of the human analyst who can interpret complex regulatory and economic signals unique to Germany Frankfurt. For institutions operating in this hub, investing in high-quality financial analysis is not merely an operational cost but a strategic imperative for maintaining competitive advantage and regulatory integrity.</w:t>
      </w:r>
    </w:p>
    <w:bookmarkEnd w:id="25"/>
    <w:bookmarkStart w:id="26" w:name="vii.-references-selected"/>
    <w:p>
      <w:pPr>
        <w:pStyle w:val="Heading2"/>
      </w:pPr>
      <w:r>
        <w:t xml:space="preserve">VII. References (Selected)</w:t>
      </w:r>
    </w:p>
    <w:p>
      <w:pPr>
        <w:numPr>
          <w:ilvl w:val="0"/>
          <w:numId w:val="1001"/>
        </w:numPr>
        <w:pStyle w:val="Compact"/>
      </w:pPr>
      <w:r>
        <w:t xml:space="preserve">BaFin (Federal Financial Supervisory Authority). (2023). *Guidelines on Compliance Management Systems in Financial Institutions*. Frankfurt am Main: BaFin Publications.</w:t>
      </w:r>
    </w:p>
    <w:p>
      <w:pPr>
        <w:numPr>
          <w:ilvl w:val="0"/>
          <w:numId w:val="1001"/>
        </w:numPr>
        <w:pStyle w:val="Compact"/>
      </w:pPr>
      <w:r>
        <w:t xml:space="preserve">European Central Bank. (2024). *Monetary Policy Review and Impact on Regional Banking Sectors*. Frankfurt: ECB Press.</w:t>
      </w:r>
    </w:p>
    <w:p>
      <w:pPr>
        <w:numPr>
          <w:ilvl w:val="0"/>
          <w:numId w:val="1001"/>
        </w:numPr>
        <w:pStyle w:val="Compact"/>
      </w:pPr>
      <w:r>
        <w:t xml:space="preserve">Weber, E., &amp; Müller, K. (2023). "Regulatory Challenges for Equity Analysts in the DAX Market." *Journal of European Finance Law*, 15(2), 45-67.</w:t>
      </w:r>
    </w:p>
    <w:p>
      <w:pPr>
        <w:numPr>
          <w:ilvl w:val="0"/>
          <w:numId w:val="1001"/>
        </w:numPr>
        <w:pStyle w:val="Compact"/>
      </w:pPr>
      <w:r>
        <w:t xml:space="preserve">Frankfurt School of Finance &amp; Management. (2024). *The ESG Imperative: Integrating Sustainability into Financial Modeling*. Frankfurt: FSFM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the Economic Landscape of Germany Frankfurt</dc:title>
  <dc:creator/>
  <dc:language>en</dc:language>
  <cp:keywords/>
  <dcterms:created xsi:type="dcterms:W3CDTF">2026-07-29T06:57:17Z</dcterms:created>
  <dcterms:modified xsi:type="dcterms:W3CDTF">2026-07-29T06:57:17Z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