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011b99312bcdf5255fa3b68b226ffd93268378d"/>
    <w:p>
      <w:pPr>
        <w:pStyle w:val="Heading1"/>
      </w:pPr>
      <w:r>
        <w:t xml:space="preserve">The Evolving Role of the Financial Analyst in Indonesia Jakarta: Navigating Regulatory Complexity and Digital Transformation</w:t>
      </w:r>
    </w:p>
    <w:p>
      <w:pPr>
        <w:pStyle w:val="FirstParagraph"/>
      </w:pPr>
      <w:r>
        <w:rPr>
          <w:bCs/>
          <w:b/>
        </w:rPr>
        <w:t xml:space="preserve">A. Pratama &amp; B. Wijaya</w:t>
      </w:r>
      <w:r>
        <w:br/>
      </w:r>
      <w:r>
        <w:t xml:space="preserve">Department of Economics and Business, University of Indonesia, Jakarta</w:t>
      </w:r>
    </w:p>
    <w:p>
      <w:pPr>
        <w:pStyle w:val="BodyText"/>
      </w:pPr>
      <w:r>
        <w:t xml:space="preserve">Email: a.pratama@ui.ac.id | b.wijaya@ui.ac.id</w:t>
      </w:r>
    </w:p>
    <w:p>
      <w:pPr>
        <w:pStyle w:val="BodyText"/>
      </w:pPr>
      <w:r>
        <w:rPr>
          <w:iCs/>
          <w:i/>
          <w:bCs/>
          <w:b/>
        </w:rPr>
        <w:t xml:space="preserve">Abstract.</w:t>
      </w:r>
      <w:r>
        <w:t xml:space="preserve"> </w:t>
      </w:r>
      <w:r>
        <w:t xml:space="preserve">This paper examines the critical role of the Financial Analyst within the rapidly expanding economic landscape of Indonesia, specifically focusing on Jakarta as the national capital and primary financial hub. As Southeast Asia’s largest economy undergoes significant structural transformation, driven by digitalization and evolving regulatory frameworks from Otoritas Jasa Keuangan (OJK), the traditional definition of a Financial Analyst is being radically reshaped. This study analyzes how professionals in Jakarta must now integrate technical accounting skills with data analytics, strategic foresight, and strict compliance awareness. Through a review of current market trends, regulatory impacts, and technological disruptions, this article argues that the modern Financial Analyst in Indonesia Jakarta serves not merely as a reporter of historical data but as a pivotal strategic partner driving sustainable corporate governance and investment decisions in an emerging market context.</w:t>
      </w:r>
    </w:p>
    <w:bookmarkStart w:id="20" w:name="introduction"/>
    <w:p>
      <w:pPr>
        <w:pStyle w:val="Heading2"/>
      </w:pPr>
      <w:r>
        <w:t xml:space="preserve">1. Introduction</w:t>
      </w:r>
    </w:p>
    <w:p>
      <w:pPr>
        <w:pStyle w:val="FirstParagraph"/>
      </w:pPr>
      <w:r>
        <w:t xml:space="preserve">The financial sector of Indonesia has experienced robust growth over the past decade, positioning the nation as a key player in the global economy. At the heart of this financial ecosystem lies Jakarta, which serves as the nerve center for multinational corporations, local conglomerates (such as those within IDX-listed entities), and international investment firms. Within this dynamic environment,</w:t>
      </w:r>
      <w:r>
        <w:t xml:space="preserve"> </w:t>
      </w:r>
      <w:r>
        <w:rPr>
          <w:bCs/>
          <w:b/>
        </w:rPr>
        <w:t xml:space="preserve">Indonesia Jakarta</w:t>
      </w:r>
      <w:r>
        <w:t xml:space="preserve"> </w:t>
      </w:r>
      <w:r>
        <w:t xml:space="preserve">represents more than just a geographical location; it symbolizes a unique convergence of emerging market volatility, rich natural resources, and rapid technological adoption.</w:t>
      </w:r>
    </w:p>
    <w:p>
      <w:pPr>
        <w:pStyle w:val="BodyText"/>
      </w:pPr>
      <w:r>
        <w:t xml:space="preserve">In this context, the professional profile of the</w:t>
      </w:r>
      <w:r>
        <w:t xml:space="preserve"> </w:t>
      </w:r>
      <w:r>
        <w:rPr>
          <w:bCs/>
          <w:b/>
        </w:rPr>
        <w:t xml:space="preserve">Financial Analyst</w:t>
      </w:r>
      <w:r>
        <w:t xml:space="preserve"> </w:t>
      </w:r>
      <w:r>
        <w:t xml:space="preserve">has undergone substantial evolution. Traditionally viewed as roles focused on quantitative analysis and financial statement preparation, contemporary demands require these professionals to possess a multidisciplinary skill set. This paper explores how</w:t>
      </w:r>
      <w:r>
        <w:t xml:space="preserve"> </w:t>
      </w:r>
      <w:r>
        <w:rPr>
          <w:bCs/>
          <w:b/>
        </w:rPr>
        <w:t xml:space="preserve">Financial Analysts</w:t>
      </w:r>
      <w:r>
        <w:t xml:space="preserve"> </w:t>
      </w:r>
      <w:r>
        <w:t xml:space="preserve">operating in</w:t>
      </w:r>
    </w:p>
    <w:p>
      <w:pPr>
        <w:pStyle w:val="BodyText"/>
      </w:pPr>
      <w:r>
        <w:t xml:space="preserve">Indonesia Jakarta must navigate the intersection of strict regulatory compliance, digital innovation, and strategic business intelligence.</w:t>
      </w:r>
    </w:p>
    <w:bookmarkEnd w:id="20"/>
    <w:bookmarkStart w:id="21" w:name="X8847e2a75cdd1c58b4fa3fb062491baaeb62a7b"/>
    <w:p>
      <w:pPr>
        <w:pStyle w:val="Heading2"/>
      </w:pPr>
      <w:r>
        <w:t xml:space="preserve">2. The Regulatory Landscape: Compliance as a Core Competency</w:t>
      </w:r>
    </w:p>
    <w:p>
      <w:pPr>
        <w:pStyle w:val="FirstParagraph"/>
      </w:pPr>
      <w:r>
        <w:t xml:space="preserve">A distinct characteristic of operating as a Financial Analyst in</w:t>
      </w:r>
      <w:r>
        <w:t xml:space="preserve"> </w:t>
      </w:r>
      <w:r>
        <w:rPr>
          <w:bCs/>
          <w:b/>
        </w:rPr>
        <w:t xml:space="preserve">Indonesia Jakarta</w:t>
      </w:r>
    </w:p>
    <w:p>
      <w:pPr>
        <w:pStyle w:val="BodyText"/>
      </w:pPr>
      <w:r>
        <w:t xml:space="preserve">For a</w:t>
      </w:r>
    </w:p>
    <w:p>
      <w:pPr>
        <w:pStyle w:val="BodyText"/>
      </w:pPr>
      <w:r>
        <w:t xml:space="preserve">Financial Analyst based in Jakarta, compliance is no longer an administrative afterthought but a core analytical competency. The analysis of financial health must now incorporate regulatory risk assessments. For instance, when evaluating investment opportunities within the Indonesian banking or non-banking sectors, analysts must evaluate how OJK’s circulars impact capital adequacy ratios and liquidity stress testing. Failure to integrate these regulatory nuances into financial models can lead to significant mispricing of assets and increased operational risk for firms headquartered in Jakarta.</w:t>
      </w:r>
    </w:p>
    <w:bookmarkEnd w:id="21"/>
    <w:bookmarkStart w:id="22" w:name="Xe3d3723814418d9237bc6c0ae5a917a3aa97bdb"/>
    <w:p>
      <w:pPr>
        <w:pStyle w:val="Heading2"/>
      </w:pPr>
      <w:r>
        <w:t xml:space="preserve">3. Digital Transformation and the Rise of FinTech</w:t>
      </w:r>
    </w:p>
    <w:p>
      <w:pPr>
        <w:pStyle w:val="FirstParagraph"/>
      </w:pPr>
      <w:r>
        <w:rPr>
          <w:bCs/>
          <w:b/>
        </w:rPr>
        <w:t xml:space="preserve">Indonesia Jakarta</w:t>
      </w:r>
      <w:r>
        <w:t xml:space="preserve">Financial Analyst. The traditional reliance on Excel-based modeling and manual data entry is being supplanted by sophisticated financial technologies (FinTech) and artificial intelligence (AI) tools.</w:t>
      </w:r>
    </w:p>
    <w:p>
      <w:pPr>
        <w:pStyle w:val="BodyText"/>
      </w:pPr>
      <w:r>
        <w:t xml:space="preserve">In Jakarta, forward-thinking firms are deploying machine learning algorithms to predict cash flow trends based on real-time transaction data from e-commerce platforms and digital banking services. Consequently, the modern</w:t>
      </w:r>
    </w:p>
    <w:p>
      <w:pPr>
        <w:pStyle w:val="BodyText"/>
      </w:pPr>
      <w:r>
        <w:t xml:space="preserve">Financial Analyst must be proficient in data science tools such as Python, R, or SQL to process large datasets that were previously inaccessible. This technological shift allows analysts to move beyond descriptive analytics (what happened) to predictive and prescriptive analytics (what will happen and what should we do).</w:t>
      </w:r>
    </w:p>
    <w:p>
      <w:pPr>
        <w:pStyle w:val="BodyText"/>
      </w:pPr>
      <w:r>
        <w:t xml:space="preserve">Furthermore, the integration of blockchain technology for supply chain financing requires analysts to understand decentralized ledger technologies. In</w:t>
      </w:r>
    </w:p>
    <w:p>
      <w:pPr>
        <w:pStyle w:val="BodyText"/>
      </w:pPr>
      <w:r>
        <w:t xml:space="preserve">Indonesia Jakarta, where trade finance is crucial due to the archipelagic nature of logistics, analysts who can assess the efficiency and security of blockchain-based financial instruments hold a significant competitive advantage.</w:t>
      </w:r>
    </w:p>
    <w:bookmarkEnd w:id="22"/>
    <w:bookmarkStart w:id="23" w:name="strategic-advisory-and-value-creation"/>
    <w:p>
      <w:pPr>
        <w:pStyle w:val="Heading2"/>
      </w:pPr>
      <w:r>
        <w:t xml:space="preserve">4. Strategic Advisory and Value Creation</w:t>
      </w:r>
    </w:p>
    <w:p>
      <w:pPr>
        <w:pStyle w:val="FirstParagraph"/>
      </w:pPr>
      <w:r>
        <w:t xml:space="preserve">The role of the</w:t>
      </w:r>
      <w:r>
        <w:t xml:space="preserve"> </w:t>
      </w:r>
      <w:r>
        <w:rPr>
          <w:bCs/>
          <w:b/>
        </w:rPr>
        <w:t xml:space="preserve">Financial Analyst in</w:t>
      </w:r>
      <w:r>
        <w:rPr>
          <w:bCs/>
          <w:b/>
        </w:rPr>
        <w:t xml:space="preserve"> </w:t>
      </w:r>
      <w:r>
        <w:rPr>
          <w:bCs/>
          <w:b/>
          <w:bCs/>
          <w:b/>
        </w:rPr>
        <w:t xml:space="preserve">Indonesia Jakarta</w:t>
      </w:r>
    </w:p>
    <w:p>
      <w:pPr>
        <w:pStyle w:val="BodyText"/>
      </w:pPr>
      <w:r>
        <w:t xml:space="preserve">Mergers and Acquisitions (M&amp;A): Jakarta remains a hotbed for M&amp;A activity in sectors such as telecommunications, energy transition, and digital services.</w:t>
      </w:r>
    </w:p>
    <w:p>
      <w:pPr>
        <w:pStyle w:val="BodyText"/>
      </w:pPr>
      <w:r>
        <w:t xml:space="preserve">Financial Analysts are tasked with conducting complex due diligence processes that go beyond financial metrics to include cultural fit, regulatory hurdles specific to Indonesian laws (such as the Omnibus Law on Job Creation), and market penetration strategies.</w:t>
      </w:r>
    </w:p>
    <w:p>
      <w:pPr>
        <w:pStyle w:val="BodyText"/>
      </w:pPr>
      <w:r>
        <w:rPr>
          <w:iCs/>
          <w:i/>
        </w:rPr>
        <w:t xml:space="preserve">Sustainability and ESG Investing:</w:t>
      </w:r>
      <w:r>
        <w:t xml:space="preserve">A growing trend in</w:t>
      </w:r>
      <w:r>
        <w:t xml:space="preserve"> </w:t>
      </w:r>
      <w:r>
        <w:rPr>
          <w:bCs/>
          <w:b/>
        </w:rPr>
        <w:t xml:space="preserve">Indonesia Jakarta</w:t>
      </w:r>
      <w:r>
        <w:t xml:space="preserve">Financial Analysts must now evaluate non-financial metrics, calculating the financial impact of climate risks on portfolio performance. This requires a nuanced understanding of how environmental regulations in Indonesia affect cost structures and revenue streams.</w:t>
      </w:r>
    </w:p>
    <w:bookmarkEnd w:id="23"/>
    <w:bookmarkStart w:id="24" w:name="Xe31bc487ce9f6e71ee66844f8b5d62a33fbd117"/>
    <w:p>
      <w:pPr>
        <w:pStyle w:val="Heading2"/>
      </w:pPr>
      <w:r>
        <w:t xml:space="preserve">5. Challenges Facing Financial Analysts in Jakarta</w:t>
      </w:r>
    </w:p>
    <w:p>
      <w:pPr>
        <w:pStyle w:val="FirstParagraph"/>
      </w:pPr>
      <w:r>
        <w:t xml:space="preserve">Despite the opportunities,</w:t>
      </w:r>
      <w:r>
        <w:t xml:space="preserve"> </w:t>
      </w:r>
      <w:r>
        <w:rPr>
          <w:bCs/>
          <w:b/>
        </w:rPr>
        <w:t xml:space="preserve">Financial Analysts operating in</w:t>
      </w:r>
      <w:r>
        <w:rPr>
          <w:bCs/>
          <w:b/>
        </w:rPr>
        <w:t xml:space="preserve"> </w:t>
      </w:r>
      <w:r>
        <w:rPr>
          <w:bCs/>
          <w:b/>
          <w:bCs/>
          <w:b/>
        </w:rPr>
        <w:t xml:space="preserve">Indonesia Jakarta</w:t>
      </w:r>
    </w:p>
    <w:p>
      <w:pPr>
        <w:numPr>
          <w:ilvl w:val="0"/>
          <w:numId w:val="1001"/>
        </w:numPr>
        <w:pStyle w:val="Compact"/>
      </w:pPr>
      <w:r>
        <w:rPr>
          <w:bCs/>
          <w:b/>
        </w:rPr>
        <w:t xml:space="preserve">Data Quality and Availability:</w:t>
      </w:r>
    </w:p>
    <w:p>
      <w:pPr>
        <w:numPr>
          <w:ilvl w:val="0"/>
          <w:numId w:val="1001"/>
        </w:numPr>
        <w:pStyle w:val="Compact"/>
      </w:pPr>
      <w:r>
        <w:rPr>
          <w:bCs/>
          <w:b/>
        </w:rPr>
        <w:t xml:space="preserve">Skill Gap:</w:t>
      </w:r>
    </w:p>
    <w:p>
      <w:pPr>
        <w:numPr>
          <w:ilvl w:val="0"/>
          <w:numId w:val="1001"/>
        </w:numPr>
        <w:pStyle w:val="Compact"/>
      </w:pPr>
      <w:r>
        <w:t xml:space="preserve">Economic Volatility: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w:t>
      </w:r>
    </w:p>
    <w:p>
      <w:pPr>
        <w:pStyle w:val="BodyText"/>
      </w:pPr>
      <w:r>
        <w:t xml:space="preserve">Indonesia JakartaFinancial Analysts who can seamlessly blend technical rigor with strategic foresight within the unique context of</w:t>
      </w:r>
    </w:p>
    <w:p>
      <w:pPr>
        <w:pStyle w:val="BodyText"/>
      </w:pPr>
      <w:r>
        <w:t xml:space="preserve">Indonesia Jakarta.</w:t>
      </w:r>
    </w:p>
    <w:bookmarkEnd w:id="25"/>
    <w:bookmarkStart w:id="26" w:name="references"/>
    <w:p>
      <w:pPr>
        <w:pStyle w:val="Heading2"/>
      </w:pPr>
      <w:r>
        <w:t xml:space="preserve">References</w:t>
      </w:r>
    </w:p>
    <w:p>
      <w:pPr>
        <w:numPr>
          <w:ilvl w:val="0"/>
          <w:numId w:val="1002"/>
        </w:numPr>
        <w:pStyle w:val="Compact"/>
      </w:pPr>
      <w:r>
        <w:t xml:space="preserve">Otoritas Jasa Keuangan (OJK). (2023).</w:t>
      </w:r>
      <w:r>
        <w:t xml:space="preserve"> </w:t>
      </w:r>
      <w:r>
        <w:rPr>
          <w:iCs/>
          <w:i/>
        </w:rPr>
        <w:t xml:space="preserve">Sustainable Finance Roadmap in Indonesia.</w:t>
      </w:r>
      <w:r>
        <w:t xml:space="preserve"> </w:t>
      </w:r>
      <w:r>
        <w:t xml:space="preserve">Jakarta: OJK Publishing House.</w:t>
      </w:r>
    </w:p>
    <w:p>
      <w:pPr>
        <w:numPr>
          <w:ilvl w:val="0"/>
          <w:numId w:val="1002"/>
        </w:numPr>
        <w:pStyle w:val="Compact"/>
      </w:pPr>
      <w:r>
        <w:t xml:space="preserve">Kementerian Keuangan Republik Indonesia. (2022).</w:t>
      </w:r>
      <w:r>
        <w:t xml:space="preserve"> </w:t>
      </w:r>
      <w:r>
        <w:rPr>
          <w:iCs/>
          <w:i/>
        </w:rPr>
        <w:t xml:space="preserve">Budget Policy Paper 2023-20</w:t>
      </w:r>
      <w:r>
        <w:t xml:space="preserve">. Jakarta: Ministry of Finance.</w:t>
      </w:r>
    </w:p>
    <w:p>
      <w:pPr>
        <w:numPr>
          <w:ilvl w:val="0"/>
          <w:numId w:val="1002"/>
        </w:numPr>
        <w:pStyle w:val="Compact"/>
      </w:pPr>
      <w:r>
        <w:t xml:space="preserve">Masino, A., &amp; Susanti, D. (2019). "The Impact of Digital Banking on Financial Performance in Indonesia."</w:t>
      </w:r>
      <w:r>
        <w:t xml:space="preserve"> </w:t>
      </w:r>
      <w:r>
        <w:rPr>
          <w:iCs/>
          <w:i/>
        </w:rPr>
        <w:t xml:space="preserve">Journal of Asian Financial Markets and Regulation</w:t>
      </w:r>
      <w:r>
        <w:t xml:space="preserve">, 15(3), 45-62.</w:t>
      </w:r>
    </w:p>
    <w:p>
      <w:pPr>
        <w:numPr>
          <w:ilvl w:val="0"/>
          <w:numId w:val="1002"/>
        </w:numPr>
        <w:pStyle w:val="Compact"/>
      </w:pPr>
      <w:r>
        <w:t xml:space="preserve">World Bank. (2023).</w:t>
      </w:r>
      <w:r>
        <w:t xml:space="preserve"> </w:t>
      </w:r>
      <w:r>
        <w:rPr>
          <w:iCs/>
          <w:i/>
        </w:rPr>
        <w:t xml:space="preserve">Indonesia Economic Prospects: Navigating the New Normal.</w:t>
      </w:r>
      <w:r>
        <w:t xml:space="preserve"> </w:t>
      </w:r>
      <w:r>
        <w:t xml:space="preserve">Washington, DC: World Bank Group.</w:t>
      </w:r>
    </w:p>
    <w:p>
      <w:pPr>
        <w:numPr>
          <w:ilvl w:val="0"/>
          <w:numId w:val="1002"/>
        </w:numPr>
        <w:pStyle w:val="Compact"/>
      </w:pPr>
      <w:r>
        <w:t xml:space="preserve">Suryani, E. (2018). "Corporate Governance and Financial Analyst Accuracy in Emerging Markets."</w:t>
      </w:r>
      <w:r>
        <w:t xml:space="preserve"> </w:t>
      </w:r>
      <w:r>
        <w:rPr>
          <w:iCs/>
          <w:i/>
        </w:rPr>
        <w:t xml:space="preserve">Indonesian Journal of Business and Entrepreneurship</w:t>
      </w:r>
      <w:r>
        <w:t xml:space="preserve">, 4(2),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Indonesia Jakarta: Navigating Regulatory Complexity and Digital Transformation</dc:title>
  <dc:creator/>
  <dc:language>en</dc:language>
  <cp:keywords/>
  <dcterms:created xsi:type="dcterms:W3CDTF">2026-07-29T15:32:17Z</dcterms:created>
  <dcterms:modified xsi:type="dcterms:W3CDTF">2026-07-29T15:32:17Z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