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Tehran:</w:t>
      </w:r>
      <w:r>
        <w:t xml:space="preserve"> </w:t>
      </w:r>
      <w:r>
        <w:t xml:space="preserve">Navigating</w:t>
      </w:r>
      <w:r>
        <w:t xml:space="preserve"> </w:t>
      </w:r>
      <w:r>
        <w:t xml:space="preserve">Volatility</w:t>
      </w:r>
      <w:r>
        <w:t xml:space="preserve"> </w:t>
      </w:r>
      <w:r>
        <w:t xml:space="preserve">and</w:t>
      </w:r>
      <w:r>
        <w:t xml:space="preserve"> </w:t>
      </w:r>
      <w:r>
        <w:t xml:space="preserve">Strategic</w:t>
      </w:r>
      <w:r>
        <w:t xml:space="preserve"> </w:t>
      </w:r>
      <w:r>
        <w:t xml:space="preserve">Valuation</w:t>
      </w:r>
    </w:p>
    <w:bookmarkStart w:id="31" w:name="Xdd3a65b3470d1c41b4eefea643ec1b6e4dc90f5"/>
    <w:p>
      <w:pPr>
        <w:pStyle w:val="Heading1"/>
      </w:pPr>
      <w:r>
        <w:t xml:space="preserve">The Evolving Role of the Financial Analyst in Tehran: Navigating Volatility and Strategic Valuation</w:t>
      </w:r>
    </w:p>
    <w:p>
      <w:pPr>
        <w:pStyle w:val="FirstParagraph"/>
      </w:pPr>
      <w:r>
        <w:t xml:space="preserve">Department of Economics and Finance, University of Tehran</w:t>
      </w:r>
      <w:r>
        <w:br/>
      </w:r>
      <w:r>
        <w:t xml:space="preserve">Tehran, Islamic Republic of Iran</w:t>
      </w:r>
    </w:p>
    <w:p>
      <w:pPr>
        <w:pStyle w:val="BodyText"/>
      </w:pPr>
      <w:r>
        <w:rPr>
          <w:bCs/>
          <w:b/>
        </w:rPr>
        <w:t xml:space="preserve">Abstract:</w:t>
      </w:r>
      <w:r>
        <w:t xml:space="preserve"> </w:t>
      </w:r>
      <w:r>
        <w:t xml:space="preserve">This article examines the critical transformation of the financial analyst profession within the unique economic landscape of Iran, specifically focusing on Tehran as the nation’s financial hub. Amidst persistent macroeconomic instability, inflationary pressures, and international sanctions, traditional valuation models often fail to capture reality. This study explores how financial analysts in Tehran are adapting their methodologies to incorporate geopolitical risk premiums, parallel market dynamics (such as the free-market NIMA exchange rate), and regulatory shifts imposed by domestic authorities like the Securities and Exchange Organization (SEO). The findings suggest that the modern financial analyst in Iran must function not merely as a number-cruncher, but as a strategic hedge against systemic volatility, requiring enhanced competencies in qualitative risk assessment and alternative data interpretation.</w:t>
      </w:r>
    </w:p>
    <w:bookmarkStart w:id="20" w:name="introduction"/>
    <w:p>
      <w:pPr>
        <w:pStyle w:val="Heading2"/>
      </w:pPr>
      <w:r>
        <w:t xml:space="preserve">1. Introduction</w:t>
      </w:r>
    </w:p>
    <w:p>
      <w:pPr>
        <w:pStyle w:val="FirstParagraph"/>
      </w:pPr>
      <w:r>
        <w:t xml:space="preserve">The profession of the Financial Analyst is universally recognized as the backbone of capital allocation efficiency within modern economies. In standard global markets, analysts rely on relatively stable monetary policies, transparent regulatory frameworks, and accessible international data to provide accurate investment recommendations. However, when applied to specific regional contexts with distinct structural challenges, such as Tehran in Iran, these conventional paradigms require significant adaptation. Tehran serves as the central node of Iran’s economy housing the Tehran Stock Exchange (TSE), major commercial banks, and numerous multinational corporate headquarters. Consequently, the role of the financial analyst in this city is not just about forecasting returns but about survival strategy for capital preservation.</w:t>
      </w:r>
    </w:p>
    <w:p>
      <w:pPr>
        <w:pStyle w:val="BodyText"/>
      </w:pPr>
      <w:r>
        <w:t xml:space="preserve">This article argues that being a Financial Analyst in Tehran today requires a hybrid skill set that blends traditional technical analysis with deep sociopolitical literacy. The unique economic environment of Iran, characterized by high inflation rates often exceeding forty percent, currency devaluation, and complex trade restrictions, demands a redefinition of analytical rigor. For stakeholders in Tehran and international investors looking toward the region, understanding this localized adaptation of financial analysis is crucial for accurate market interpretation.</w:t>
      </w:r>
    </w:p>
    <w:bookmarkEnd w:id="20"/>
    <w:bookmarkStart w:id="23" w:name="X605197676f92f5bb81a1a359391a977a04a43e1"/>
    <w:p>
      <w:pPr>
        <w:pStyle w:val="Heading2"/>
      </w:pPr>
      <w:r>
        <w:t xml:space="preserve">2. The Macro-Economic Context: Challenges Facing Tehran’s Markets</w:t>
      </w:r>
    </w:p>
    <w:p>
      <w:pPr>
        <w:pStyle w:val="FirstParagraph"/>
      </w:pPr>
      <w:r>
        <w:t xml:space="preserve">To understand the necessity of specialized analysis, one must first contextualize the environment in which these professionals operate. Iran’s economy has faced decades of isolation and internal structural inefficiencies. For a Financial Analyst based in Tehran, the primary challenge is not market noise but systemic distortion.</w:t>
      </w:r>
    </w:p>
    <w:bookmarkStart w:id="21" w:name="inflation-and-currency-devaluation"/>
    <w:p>
      <w:pPr>
        <w:pStyle w:val="Heading3"/>
      </w:pPr>
      <w:r>
        <w:t xml:space="preserve">2.1 Inflation and Currency Devaluation</w:t>
      </w:r>
    </w:p>
    <w:p>
      <w:pPr>
        <w:pStyle w:val="FirstParagraph"/>
      </w:pPr>
      <w:r>
        <w:t xml:space="preserve">The most significant variable affecting any financial model in Iran is the exchange rate. Due to international sanctions and trade barriers, a dual exchange rate system often exists: an official government-mandated rate and a free-market parallel rate (often tracked through indices like NIMA or the open market). A Financial Analyst must determine which currency flow is relevant for specific assets. For instance, export-oriented companies in Tehran may benefit from devaluation due to increased foreign revenue when converted to Rials, while import-dependent firms suffer margin compression. Standard Discounted Cash Flow (DCF) models fail if they do not accurately project the divergence between these exchange rates.</w:t>
      </w:r>
    </w:p>
    <w:bookmarkEnd w:id="21"/>
    <w:bookmarkStart w:id="22" w:name="regulatory-volatility"/>
    <w:p>
      <w:pPr>
        <w:pStyle w:val="Heading3"/>
      </w:pPr>
      <w:r>
        <w:t xml:space="preserve">2.2 Regulatory Volatility</w:t>
      </w:r>
    </w:p>
    <w:p>
      <w:pPr>
        <w:pStyle w:val="FirstParagraph"/>
      </w:pPr>
      <w:r>
        <w:t xml:space="preserve">The regulatory framework in Tehran is dynamic and sometimes opaque. The Securities and Exchange Organization (SEO) frequently intervenes to stabilize the market, imposing trading halts or price caps during periods of high volatility. Financial analysts must interpret not only company fundamentals but also the political will behind regulatory actions. This requires a level of qualitative analysis that goes beyond standard financial statements.</w:t>
      </w:r>
    </w:p>
    <w:bookmarkEnd w:id="22"/>
    <w:bookmarkEnd w:id="23"/>
    <w:bookmarkStart w:id="27" w:name="Xfd33b678c743b27d07d2b458575cc82753ccb47"/>
    <w:p>
      <w:pPr>
        <w:pStyle w:val="Heading2"/>
      </w:pPr>
      <w:r>
        <w:t xml:space="preserve">3. Methodological Adaptations in Iranian Financial Analysis</w:t>
      </w:r>
    </w:p>
    <w:p>
      <w:pPr>
        <w:pStyle w:val="FirstParagraph"/>
      </w:pPr>
      <w:r>
        <w:t xml:space="preserve">In response to these challenges, the methodologies employed by Financial Analysts in Tehran have evolved significantly. The following subsections detail key adaptations.</w:t>
      </w:r>
    </w:p>
    <w:bookmarkStart w:id="24" w:name="adjusted-valuation-models"/>
    <w:p>
      <w:pPr>
        <w:pStyle w:val="Heading3"/>
      </w:pPr>
      <w:r>
        <w:t xml:space="preserve">3.1 Adjusted Valuation Models</w:t>
      </w:r>
    </w:p>
    <w:p>
      <w:pPr>
        <w:pStyle w:val="FirstParagraph"/>
      </w:pPr>
      <w:r>
        <w:t xml:space="preserve">The classic Capital Asset Pricing Model (CAPM) is difficult to apply in Iran due to the lack of a reliable risk-free rate and distorted beta coefficients. Analysts in Tehran often utilize adjusted valuation techniques that incorporate a country risk premium derived from sovereign credit ratings and geopolitical sentiment indices. Furthermore, analysts frequently use real-options analysis for long-term projects, acknowledging that the option to delay or abandon investment is highly valuable in an environment of high uncertainty.</w:t>
      </w:r>
    </w:p>
    <w:bookmarkEnd w:id="24"/>
    <w:bookmarkStart w:id="25" w:name="the-integration-of-alternative-data"/>
    <w:p>
      <w:pPr>
        <w:pStyle w:val="Heading3"/>
      </w:pPr>
      <w:r>
        <w:t xml:space="preserve">3.2 The Integration of Alternative Data</w:t>
      </w:r>
    </w:p>
    <w:p>
      <w:pPr>
        <w:pStyle w:val="FirstParagraph"/>
      </w:pPr>
      <w:r>
        <w:t xml:space="preserve">In markets where official data may be delayed or sanitized, Financial Analysts in Tehran increasingly rely on alternative data sources. This includes monitoring news sentiment regarding nuclear negotiations (JCPOA status), tracking shipping logistics at Bandar Abbas port to gauge import/export volumes, and analyzing social media trends for consumer confidence indicators. The ability to synthesize non-financial data into financial forecasts is now a core competency for senior analysts in the region.</w:t>
      </w:r>
    </w:p>
    <w:bookmarkEnd w:id="25"/>
    <w:bookmarkStart w:id="26" w:name="sector-specific-nuances"/>
    <w:p>
      <w:pPr>
        <w:pStyle w:val="Heading3"/>
      </w:pPr>
      <w:r>
        <w:t xml:space="preserve">3.3 Sector-Specific Nuances</w:t>
      </w:r>
    </w:p>
    <w:p>
      <w:pPr>
        <w:pStyle w:val="FirstParagraph"/>
      </w:pPr>
      <w:r>
        <w:t xml:space="preserve">The structure of the Tehran economy is heavily weighted toward oil and gas, petrochemicals, and banking. Financial Analysts must possess specialized knowledge in commodity cycles and global energy demand to accurately forecast revenues for major Iranian corporations. Additionally, the banking sector requires analysis based on non-performing loan ratios adjusted for inflationary accounting adjustments, as reported earnings may significantly understate the true health of a bank’s balance sheet.</w:t>
      </w:r>
    </w:p>
    <w:bookmarkEnd w:id="26"/>
    <w:bookmarkEnd w:id="27"/>
    <w:bookmarkStart w:id="28" w:name="Xe84b9ccf183d63383a98f8a92be4e8e34165dcf"/>
    <w:p>
      <w:pPr>
        <w:pStyle w:val="Heading2"/>
      </w:pPr>
      <w:r>
        <w:t xml:space="preserve">4. The Strategic Role of the Analyst in Tehran</w:t>
      </w:r>
    </w:p>
    <w:p>
      <w:pPr>
        <w:pStyle w:val="FirstParagraph"/>
      </w:pPr>
      <w:r>
        <w:t xml:space="preserve">Beyond technical valuation, the Financial Analyst in Iran serves a broader strategic function. In an environment where information asymmetry is high and market efficiency is low, analysts act as gatekeepers of truth for both domestic institutional investors and foreign entities seeking exposure to Iran.</w:t>
      </w:r>
    </w:p>
    <w:p>
      <w:pPr>
        <w:pStyle w:val="BodyText"/>
      </w:pPr>
      <w:r>
        <w:rPr>
          <w:bCs/>
          <w:b/>
        </w:rPr>
        <w:t xml:space="preserve">4.1 Risk Management Advisory:</w:t>
      </w:r>
      <w:r>
        <w:t xml:space="preserve"> </w:t>
      </w:r>
      <w:r>
        <w:t xml:space="preserve">Analysts provide critical hedging strategies for corporate clients in Tehran. This involves advising on the use of local financial instruments or informal hedges to protect against Rial devaluation. The advice given can mean the difference between profitability and bankruptcy for manufacturing firms in industrial cities connected to Tehran.</w:t>
      </w:r>
    </w:p>
    <w:p>
      <w:pPr>
        <w:pStyle w:val="BodyText"/>
      </w:pPr>
      <w:r>
        <w:rPr>
          <w:bCs/>
          <w:b/>
        </w:rPr>
        <w:t xml:space="preserve">4.2 Investor Education:</w:t>
      </w:r>
      <w:r>
        <w:t xml:space="preserve"> </w:t>
      </w:r>
      <w:r>
        <w:t xml:space="preserve">There is a growing need for analysts to educate domestic investors about global best practices, helping them move away from speculative trading (which has historically characterized the TSE) toward value-based investing. This cultural shift within the Iranian market is driven largely by senior analysts at major brokerage firms in Tehran.</w:t>
      </w:r>
    </w:p>
    <w:bookmarkEnd w:id="28"/>
    <w:bookmarkStart w:id="29" w:name="conclusion"/>
    <w:p>
      <w:pPr>
        <w:pStyle w:val="Heading2"/>
      </w:pPr>
      <w:r>
        <w:t xml:space="preserve">5. Conclusion</w:t>
      </w:r>
    </w:p>
    <w:p>
      <w:pPr>
        <w:pStyle w:val="FirstParagraph"/>
      </w:pPr>
      <w:r>
        <w:t xml:space="preserve">The profile of the Financial Analyst in Tehran has undergone a profound transformation. No longer confined to spreadsheets and standard ratios, today’s analyst must be a multidisciplinary expert capable of navigating the intersection of economics, politics, and global finance. The volatility inherent in Iran’s economy demands analytical frameworks that are resilient, adaptive, and deeply contextual.</w:t>
      </w:r>
    </w:p>
    <w:p>
      <w:pPr>
        <w:pStyle w:val="BodyText"/>
      </w:pPr>
      <w:r>
        <w:t xml:space="preserve">As Iran continues to integrate into the global economy—whether through potential future sanctions relief or regional trade initiatives—the importance of rigorous financial analysis will only grow. For institutions operating in Tehran, investing in high-caliber Financial Analysts who understand these unique local nuances is not merely an operational expense but a strategic imperative. Future research should focus on the impact of fintech adoption in Iran and how digital tools can enhance the transparency and accuracy of financial analysis in this challenging market.</w:t>
      </w:r>
    </w:p>
    <w:bookmarkEnd w:id="29"/>
    <w:bookmarkStart w:id="30" w:name="references"/>
    <w:p>
      <w:pPr>
        <w:pStyle w:val="Heading2"/>
      </w:pPr>
      <w:r>
        <w:t xml:space="preserve">References</w:t>
      </w:r>
    </w:p>
    <w:p>
      <w:pPr>
        <w:numPr>
          <w:ilvl w:val="0"/>
          <w:numId w:val="1001"/>
        </w:numPr>
        <w:pStyle w:val="Compact"/>
      </w:pPr>
      <w:r>
        <w:rPr>
          <w:bCs/>
          <w:b/>
        </w:rPr>
        <w:t xml:space="preserve">Bahrami, A., &amp; Farzadfard, M. (2019).</w:t>
      </w:r>
      <w:r>
        <w:t xml:space="preserve"> </w:t>
      </w:r>
      <w:r>
        <w:t xml:space="preserve">"Capital Market Efficiency in Tehran: Challenges and Prospects." Journal of Emerging Market Finance.</w:t>
      </w:r>
    </w:p>
    <w:p>
      <w:pPr>
        <w:numPr>
          <w:ilvl w:val="0"/>
          <w:numId w:val="1001"/>
        </w:numPr>
        <w:pStyle w:val="Compact"/>
      </w:pPr>
      <w:r>
        <w:rPr>
          <w:bCs/>
          <w:b/>
        </w:rPr>
        <w:t xml:space="preserve">Hassani, H., et al. (2021).</w:t>
      </w:r>
      <w:r>
        <w:t xml:space="preserve"> </w:t>
      </w:r>
      <w:r>
        <w:t xml:space="preserve">"Inflation Expectations and Stock Returns in Iran: A GARCH Approach." International Journal of Economics and Financial Issues.</w:t>
      </w:r>
    </w:p>
    <w:p>
      <w:pPr>
        <w:numPr>
          <w:ilvl w:val="0"/>
          <w:numId w:val="1001"/>
        </w:numPr>
        <w:pStyle w:val="Compact"/>
      </w:pPr>
      <w:r>
        <w:rPr>
          <w:bCs/>
          <w:b/>
        </w:rPr>
        <w:t xml:space="preserve">Securities and Exchange Organization (SEO). (2023).</w:t>
      </w:r>
      <w:r>
        <w:t xml:space="preserve"> </w:t>
      </w:r>
      <w:r>
        <w:t xml:space="preserve">Annual Market Report of the Tehran Stock Exchange.</w:t>
      </w:r>
    </w:p>
    <w:p>
      <w:pPr>
        <w:numPr>
          <w:ilvl w:val="0"/>
          <w:numId w:val="1001"/>
        </w:numPr>
        <w:pStyle w:val="Compact"/>
      </w:pPr>
      <w:r>
        <w:rPr>
          <w:bCs/>
          <w:b/>
        </w:rPr>
        <w:t xml:space="preserve">Khalili, S. (2020).</w:t>
      </w:r>
      <w:r>
        <w:t xml:space="preserve"> </w:t>
      </w:r>
      <w:r>
        <w:t xml:space="preserve">"Sustainable Finance in Iran: The Role of Regulatory Frameworks." Journal of Cleaner Production.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Tehran: Navigating Volatility and Strategic Valuation</dc:title>
  <dc:creator/>
  <dc:language>en</dc:language>
  <cp:keywords/>
  <dcterms:created xsi:type="dcterms:W3CDTF">2026-07-29T13:16:41Z</dcterms:created>
  <dcterms:modified xsi:type="dcterms:W3CDTF">2026-07-29T13:16:41Z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