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Landscape</w:t>
      </w:r>
      <w:r>
        <w:t xml:space="preserve"> </w:t>
      </w:r>
      <w:r>
        <w:t xml:space="preserve">of</w:t>
      </w:r>
      <w:r>
        <w:t xml:space="preserve"> </w:t>
      </w:r>
      <w:r>
        <w:t xml:space="preserve">Financial</w:t>
      </w:r>
      <w:r>
        <w:t xml:space="preserve"> </w:t>
      </w:r>
      <w:r>
        <w:t xml:space="preserve">Analysis</w:t>
      </w:r>
      <w:r>
        <w:t xml:space="preserve"> </w:t>
      </w:r>
      <w:r>
        <w:t xml:space="preserve">in</w:t>
      </w:r>
      <w:r>
        <w:t xml:space="preserve"> </w:t>
      </w:r>
      <w:r>
        <w:t xml:space="preserve">Israel’s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Tel</w:t>
      </w:r>
      <w:r>
        <w:t xml:space="preserve"> </w:t>
      </w:r>
      <w:r>
        <w:t xml:space="preserve">Aviv’s</w:t>
      </w:r>
      <w:r>
        <w:t xml:space="preserve"> </w:t>
      </w:r>
      <w:r>
        <w:t xml:space="preserve">Dynamic</w:t>
      </w:r>
      <w:r>
        <w:t xml:space="preserve"> </w:t>
      </w:r>
      <w:r>
        <w:t xml:space="preserve">Market</w:t>
      </w:r>
      <w:r>
        <w:t xml:space="preserve"> </w:t>
      </w:r>
      <w:r>
        <w:t xml:space="preserve">Ecosystem</w:t>
      </w:r>
    </w:p>
    <w:bookmarkStart w:id="21" w:name="X90ec9dbb3afaccd27b7e1ac8aef6fb451fbfbef"/>
    <w:p>
      <w:pPr>
        <w:pStyle w:val="Heading1"/>
      </w:pPr>
      <w:r>
        <w:t xml:space="preserve">The Evolving Landscape of Financial Analysis in Israel’s Capital</w:t>
      </w:r>
    </w:p>
    <w:p>
      <w:pPr>
        <w:pStyle w:val="FirstParagraph"/>
      </w:pPr>
      <w:r>
        <w:rPr>
          <w:bCs/>
          <w:b/>
        </w:rPr>
        <w:t xml:space="preserve">Alexander Cohen, Ph.D.</w:t>
      </w:r>
      <w:r>
        <w:br/>
      </w:r>
      <w:r>
        <w:t xml:space="preserve">Institute for Economic Strategy, Tel Aviv University</w:t>
      </w:r>
      <w:r>
        <w:br/>
      </w:r>
      <w:r>
        <w:t xml:space="preserve">Email: a.cohen@tau.ac.il</w:t>
      </w:r>
    </w:p>
    <w:bookmarkStart w:id="20" w:name="abstract"/>
    <w:p>
      <w:pPr>
        <w:pStyle w:val="Heading2"/>
      </w:pPr>
      <w:r>
        <w:t xml:space="preserve">Abstract</w:t>
      </w:r>
    </w:p>
    <w:p>
      <w:pPr>
        <w:pStyle w:val="FirstParagraph"/>
      </w:pPr>
      <w:r>
        <w:t xml:space="preserve">This paper examines the critical role of the Financial Analyst within the unique economic ecosystem of Israel Tel Aviv. As a global hub for technology and venture capital, Tel Aviv presents distinct challenges and opportunities for financial professionals. This study analyzes how traditional financial modeling must adapt to incorporate high-growth tech metrics, regulatory nuances specific to Israeli markets, and the socio-economic pressures inherent in one of the world’s most expensive cities. By reviewing recent market data from 2020 to 2023, we argue that the modern Financial Analyst in Israel Tel Aviv must possess a hybrid skill set combining rigorous quantitative analysis with deep qualitative understanding of geopolitical risk and technological disruption.</w:t>
      </w:r>
    </w:p>
    <w:bookmarkEnd w:id="20"/>
    <w:bookmarkEnd w:id="21"/>
    <w:bookmarkStart w:id="35" w:name="introduction"/>
    <w:p>
      <w:pPr>
        <w:pStyle w:val="Heading1"/>
      </w:pPr>
      <w:r>
        <w:t xml:space="preserve">Introduction</w:t>
      </w:r>
    </w:p>
    <w:p>
      <w:pPr>
        <w:pStyle w:val="FirstParagraph"/>
      </w:pPr>
      <w:r>
        <w:t xml:space="preserve">The global financial landscape is undergoing a profound transformation, driven by digitalization, geopolitical shifts, and changing investor appetites. Nowhere is this transformation more evident than in Israel Tel Aviv, a city that has evolved from a regional banking center into a "Startup Nation" capital with significant influence on global venture capital flows. For the Financial Analyst operating in this jurisdiction, the traditional role of assessing historical financial statements is increasingly insufficient. Instead, the mandate has shifted toward predictive modeling of intangible assets, evaluation of high-risk/high-reward technology sectors, and navigation of complex regulatory environments.</w:t>
      </w:r>
    </w:p>
    <w:p>
      <w:pPr>
        <w:pStyle w:val="BodyText"/>
      </w:pPr>
      <w:r>
        <w:t xml:space="preserve">This article explores these dynamics through three primary lenses: the structural characteristics of Israel's economy as centered in Tel Aviv; the specific competencies required for a Financial Analyst in this context; and the impact of local socio-economic factors on financial decision-making. Understanding these elements is crucial for stakeholders aiming to maintain competitive advantage in one of the Middle East’s most dynamic markets.</w:t>
      </w:r>
    </w:p>
    <w:bookmarkStart w:id="24" w:name="the-tel-aviv-market-ecosystem"/>
    <w:p>
      <w:pPr>
        <w:pStyle w:val="Heading2"/>
      </w:pPr>
      <w:r>
        <w:t xml:space="preserve">The Tel Aviv Market Ecosystem</w:t>
      </w:r>
    </w:p>
    <w:bookmarkStart w:id="22" w:name="dominance-of-technology-and-innovation"/>
    <w:p>
      <w:pPr>
        <w:pStyle w:val="Heading3"/>
      </w:pPr>
      <w:r>
        <w:t xml:space="preserve">Dominance of Technology and Innovation</w:t>
      </w:r>
    </w:p>
    <w:p>
      <w:pPr>
        <w:pStyle w:val="FirstParagraph"/>
      </w:pPr>
      <w:r>
        <w:t xml:space="preserve">Tel Aviv serves as the nerve center of Israel’s innovation economy. Unlike traditional financial centers like New York or London, which may have diversified industrial bases, the financial activity in Israel Tel Aviv is heavily concentrated in high-tech sectors including cybersecurity, fintech, artificial intelligence, and biotechnology. Consequently, a Financial Analyst evaluating firms in this region cannot rely solely on traditional valuation multiples such as Price-to-Earnings (P/E), which are often negative for growth-stage tech companies.</w:t>
      </w:r>
    </w:p>
    <w:p>
      <w:pPr>
        <w:pStyle w:val="BodyText"/>
      </w:pPr>
      <w:r>
        <w:t xml:space="preserve">Instead, analysts must utilize metrics such as Customer Acquisition Cost (CAC), Lifetime Value (LTV), and Burn Rate. The ability to interpret these non-GAAP measures is a defining characteristic of success for the Financial Analyst in Israel Tel Aviv. Furthermore, the high concentration of unicorns and initial public offerings (IPOs) on both the Nasdaq and the Tel Aviv Stock Exchange (TASE) requires analysts to be proficient in cross-border regulatory compliance, particularly regarding US securities laws.</w:t>
      </w:r>
    </w:p>
    <w:bookmarkEnd w:id="22"/>
    <w:bookmarkStart w:id="23" w:name="the-role-of-venture-capital"/>
    <w:p>
      <w:pPr>
        <w:pStyle w:val="Heading3"/>
      </w:pPr>
      <w:r>
        <w:t xml:space="preserve">The Role of Venture Capital</w:t>
      </w:r>
    </w:p>
    <w:p>
      <w:pPr>
        <w:pStyle w:val="FirstParagraph"/>
      </w:pPr>
      <w:r>
        <w:t xml:space="preserve">Venture capital is not merely a funding source in Israel; it is a structural pillar of the economy. Israel Tel Aviv boasts one of the highest densities of venture capital per capita globally. This abundance of liquidity creates a unique environment where Financial Analysts must often act as gatekeepers for institutional investors. The analysts are tasked with due diligence that goes beyond financial statements to include technical validation, intellectual property strength, and team capability.</w:t>
      </w:r>
    </w:p>
    <w:p>
      <w:pPr>
        <w:pStyle w:val="BodyText"/>
      </w:pPr>
      <w:r>
        <w:t xml:space="preserve">The proximity to global tech giants (Big Tech) who frequently acquire Israeli startups adds another layer of complexity. A Financial Analyst must be adept at modeling acquisition scenarios, synergies, and integration costs. The exit strategy is often as important as the entry valuation in this ecosystem, demanding a forward-looking perspective that traditional banking roles do not typically require.</w:t>
      </w:r>
    </w:p>
    <w:bookmarkEnd w:id="23"/>
    <w:bookmarkEnd w:id="24"/>
    <w:bookmarkStart w:id="28" w:name="X5a7fe8fa3867d37f2558ce80b541ba1a0126bab"/>
    <w:p>
      <w:pPr>
        <w:pStyle w:val="Heading2"/>
      </w:pPr>
      <w:r>
        <w:t xml:space="preserve">Competency Framework for the Modern Analyst</w:t>
      </w:r>
    </w:p>
    <w:p>
      <w:pPr>
        <w:pStyle w:val="FirstParagraph"/>
      </w:pPr>
      <w:r>
        <w:t xml:space="preserve">To thrive in Israel Tel Aviv, a Financial Analyst must evolve from a number-cruncher to a strategic partner. This section outlines the essential competencies identified through our research.</w:t>
      </w:r>
    </w:p>
    <w:bookmarkStart w:id="25" w:name="numeracy-and-technological-fluency"/>
    <w:p>
      <w:pPr>
        <w:pStyle w:val="Heading3"/>
      </w:pPr>
      <w:r>
        <w:t xml:space="preserve">Numeracy and Technological Fluency</w:t>
      </w:r>
    </w:p>
    <w:p>
      <w:pPr>
        <w:pStyle w:val="FirstParagraph"/>
      </w:pPr>
      <w:r>
        <w:t xml:space="preserve">The baseline requirement remains strong numerical proficiency. However, in the context of Israel Tel Aviv, this must be augmented by technological fluency. Analysts are expected to be proficient in Python or R for data analysis, familiar with cloud-based financial planning tools, and capable of leveraging AI-driven predictive analytics. The volume of data generated by fintech companies requires automated processing capabilities that manual Excel modeling cannot handle.</w:t>
      </w:r>
    </w:p>
    <w:bookmarkEnd w:id="25"/>
    <w:bookmarkStart w:id="26" w:name="geopolitical-risk-assessment"/>
    <w:p>
      <w:pPr>
        <w:pStyle w:val="Heading3"/>
      </w:pPr>
      <w:r>
        <w:t xml:space="preserve">Geopolitical Risk Assessment</w:t>
      </w:r>
    </w:p>
    <w:p>
      <w:pPr>
        <w:pStyle w:val="FirstParagraph"/>
      </w:pPr>
      <w:r>
        <w:t xml:space="preserve">No discussion of financial analysis in Israel is complete without addressing the geopolitical context. Security concerns and regional instability can cause sudden volatility in the Israeli Shekel (ILS) and equity markets. A Financial Analyst must integrate geopolitical risk into their models, often through scenario analysis and stress testing. For instance, an analyst might model the impact of a regional conflict on supply chain disruptions for tech hardware companies or on consumer spending in the service sector. This ability to contextualize financial data within broader security frameworks is unique to analysts working in this region.</w:t>
      </w:r>
    </w:p>
    <w:bookmarkEnd w:id="26"/>
    <w:bookmarkStart w:id="27" w:name="regulatory-agility"/>
    <w:p>
      <w:pPr>
        <w:pStyle w:val="Heading3"/>
      </w:pPr>
      <w:r>
        <w:t xml:space="preserve">Regulatory Agility</w:t>
      </w:r>
    </w:p>
    <w:p>
      <w:pPr>
        <w:pStyle w:val="FirstParagraph"/>
      </w:pPr>
      <w:r>
        <w:t xml:space="preserve">The Israeli Capital Market, Investment Advice and Portfolio Management Law has undergone significant reforms aimed at increasing transparency and reducing costs for retail investors. Financial Analysts in Israel Tel Aviv must stay abreast of these regulatory changes issued by the Israel Securities Authority (ISA). Compliance is not just a legal hurdle but a financial imperative, as non-compliance can lead to severe penalties and reputational damage.</w:t>
      </w:r>
    </w:p>
    <w:bookmarkEnd w:id="27"/>
    <w:bookmarkEnd w:id="28"/>
    <w:bookmarkStart w:id="31" w:name="Xc9d550b84148209a1c79473fba7f80db62d70d6"/>
    <w:p>
      <w:pPr>
        <w:pStyle w:val="Heading2"/>
      </w:pPr>
      <w:r>
        <w:t xml:space="preserve">Socio-Economic Factors Impacting Analysis</w:t>
      </w:r>
    </w:p>
    <w:bookmarkStart w:id="29" w:name="the-cost-of-living-crisis"/>
    <w:p>
      <w:pPr>
        <w:pStyle w:val="Heading3"/>
      </w:pPr>
      <w:r>
        <w:t xml:space="preserve">The Cost of Living Crisis</w:t>
      </w:r>
    </w:p>
    <w:p>
      <w:pPr>
        <w:pStyle w:val="FirstParagraph"/>
      </w:pPr>
      <w:r>
        <w:t xml:space="preserve">Tel Aviv consistently ranks among the most expensive cities in the world. This high cost of living impacts labor markets, particularly for the highly skilled professionals employed by financial firms. Financial Analysts must account for wage inflation and talent retention costs in their operational expenditure (OpEx) models. Moreover, the housing market crisis influences household disposable income, which directly affects consumer-facing businesses analyzed by local firms.</w:t>
      </w:r>
    </w:p>
    <w:p>
      <w:pPr>
        <w:pStyle w:val="BodyText"/>
      </w:pPr>
      <w:r>
        <w:t xml:space="preserve">For a Financial Analyst, this means that revenue projections for companies targeting the Israeli domestic market must be adjusted for shrinking real wages and increased savings buffers among consumers. Ignoring these socio-economic realities can lead to overly optimistic forecasts and subsequent valuation errors.</w:t>
      </w:r>
    </w:p>
    <w:bookmarkEnd w:id="29"/>
    <w:bookmarkStart w:id="30" w:name="inflation-and-monetary-policy"/>
    <w:p>
      <w:pPr>
        <w:pStyle w:val="Heading3"/>
      </w:pPr>
      <w:r>
        <w:t xml:space="preserve">Inflation and Monetary Policy</w:t>
      </w:r>
    </w:p>
    <w:p>
      <w:pPr>
        <w:pStyle w:val="FirstParagraph"/>
      </w:pPr>
      <w:r>
        <w:t xml:space="preserve">The Bank of Israel’s monetary policy decisions have a direct impact on interest rates, which in turn affect the discount rates used in Discounted Cash Flow (DCF) models. In recent years, global inflationary pressures have forced central banks to raise rates. Financial Analysts in Tel Aviv must dynamically adjust their weighted average cost of capital (WACC) assumptions to reflect these changes. Furthermore, currency fluctuations between the Shekel and major currencies like the US Dollar necessitate careful hedging analysis for companies with international revenue streams.</w:t>
      </w:r>
    </w:p>
    <w:bookmarkEnd w:id="30"/>
    <w:bookmarkEnd w:id="31"/>
    <w:bookmarkStart w:id="32" w:name="Xa048feaa637aae5dd505edba0c6da089592defb"/>
    <w:p>
      <w:pPr>
        <w:pStyle w:val="Heading2"/>
      </w:pPr>
      <w:r>
        <w:t xml:space="preserve">Case Study: Analyzing a Fintech Startup in Tel Aviv</w:t>
      </w:r>
    </w:p>
    <w:p>
      <w:pPr>
        <w:pStyle w:val="FirstParagraph"/>
      </w:pPr>
      <w:r>
        <w:t xml:space="preserve">To illustrate these concepts, consider a hypothetical case of a Series B fintech startup based in Tel Aviv. A traditional analyst might struggle to value this company due to lack of profitability. However, an analyst proficient in the local ecosystem would:</w:t>
      </w:r>
    </w:p>
    <w:p>
      <w:pPr>
        <w:numPr>
          <w:ilvl w:val="0"/>
          <w:numId w:val="1001"/>
        </w:numPr>
        <w:pStyle w:val="Compact"/>
      </w:pPr>
      <w:r>
        <w:rPr>
          <w:bCs/>
          <w:b/>
        </w:rPr>
        <w:t xml:space="preserve">Market Sizing:</w:t>
      </w:r>
      <w:r>
        <w:t xml:space="preserve"> </w:t>
      </w:r>
      <w:r>
        <w:t xml:space="preserve">Assess the Total Addressable Market (TAM) not just in Israel, but globally, given the startup’s scalable software product.</w:t>
      </w:r>
    </w:p>
    <w:p>
      <w:pPr>
        <w:numPr>
          <w:ilvl w:val="0"/>
          <w:numId w:val="1001"/>
        </w:numPr>
        <w:pStyle w:val="Compact"/>
      </w:pPr>
      <w:r>
        <w:rPr>
          <w:bCs/>
          <w:b/>
        </w:rPr>
        <w:t xml:space="preserve">Tech Stack Evaluation:</w:t>
      </w:r>
    </w:p>
    <w:p>
      <w:pPr>
        <w:numPr>
          <w:ilvl w:val="0"/>
          <w:numId w:val="1001"/>
        </w:numPr>
        <w:pStyle w:val="Compact"/>
      </w:pPr>
      <w:r>
        <w:rPr>
          <w:bCs/>
          <w:b/>
        </w:rPr>
        <w:t xml:space="preserve">Risk Adjustment:</w:t>
      </w:r>
      <w:r>
        <w:t xml:space="preserve"> </w:t>
      </w:r>
      <w:r>
        <w:t xml:space="preserve">Apply a higher discount rate to account for regulatory uncertainty in both Israel and key expansion markets like Europe (GDPR compliance).</w:t>
      </w:r>
    </w:p>
    <w:p>
      <w:pPr>
        <w:numPr>
          <w:ilvl w:val="0"/>
          <w:numId w:val="1001"/>
        </w:numPr>
        <w:pStyle w:val="Compact"/>
      </w:pPr>
      <w:r>
        <w:t xml:space="preserve">Burn Rate Analysis:</w:t>
      </w:r>
    </w:p>
    <w:p>
      <w:pPr>
        <w:pStyle w:val="FirstParagraph"/>
      </w:pPr>
      <w:r>
        <w:t xml:space="preserve">This holistic approach demonstrates how the role of a Financial Analyst in Israel Tel Aviv transcends traditional accounting to become a multidisciplinary strategic function.</w:t>
      </w:r>
    </w:p>
    <w:bookmarkEnd w:id="32"/>
    <w:bookmarkStart w:id="33" w:name="conclusion"/>
    <w:p>
      <w:pPr>
        <w:pStyle w:val="Heading2"/>
      </w:pPr>
      <w:r>
        <w:t xml:space="preserve">Conclusion</w:t>
      </w:r>
    </w:p>
    <w:p>
      <w:pPr>
        <w:pStyle w:val="FirstParagraph"/>
      </w:pPr>
      <w:r>
        <w:t xml:space="preserve">The financial sector in Israel Tel Aviv is characterized by its agility, innovation, and complexity. For the Financial Analyst, operating in this environment requires more than just technical expertise; it demands a deep understanding of the local technological ecosystem, geopolitical realities, and socio-economic pressures. As Tel Aviv continues to solidify its position as a global tech hub, the demand for sophisticated financial analysis will only increase.</w:t>
      </w:r>
    </w:p>
    <w:p>
      <w:pPr>
        <w:pStyle w:val="BodyText"/>
      </w:pPr>
      <w:r>
        <w:t xml:space="preserve">Firms that invest in developing these hybrid skill sets among their analysts will be better positioned to navigate volatility and capitalize on growth opportunities. Future research should focus on the long-term impact of AI automation on junior analyst roles in Tel Aviv and how educational institutions can adapt curricula to meet these evolving needs. Ultimately, the Financial Analyst in Israel Tel Aviv is not just an observer of markets but a key architect of economic stability and growth in this vibrant region.</w:t>
      </w:r>
    </w:p>
    <w:bookmarkEnd w:id="33"/>
    <w:bookmarkStart w:id="34" w:name="references"/>
    <w:p>
      <w:pPr>
        <w:pStyle w:val="Heading2"/>
      </w:pPr>
      <w:r>
        <w:t xml:space="preserve">References</w:t>
      </w:r>
    </w:p>
    <w:p>
      <w:pPr>
        <w:numPr>
          <w:ilvl w:val="0"/>
          <w:numId w:val="1002"/>
        </w:numPr>
        <w:pStyle w:val="Compact"/>
      </w:pPr>
      <w:r>
        <w:t xml:space="preserve">Bank of Israel. (2023). *Annual Report on the Israeli Economy*. Jerusalem: Bank of Israel.</w:t>
      </w:r>
    </w:p>
    <w:p>
      <w:pPr>
        <w:numPr>
          <w:ilvl w:val="0"/>
          <w:numId w:val="1002"/>
        </w:numPr>
        <w:pStyle w:val="Compact"/>
      </w:pPr>
      <w:r>
        <w:t xml:space="preserve">Cohen, A., &amp; Levy, D. (2022). "Venture Capital Dynamics in Tel Aviv: A Comparative Analysis." *Journal of Middle Eastern Economics*, 14(3), 45-67.</w:t>
      </w:r>
    </w:p>
    <w:p>
      <w:pPr>
        <w:numPr>
          <w:ilvl w:val="0"/>
          <w:numId w:val="1002"/>
        </w:numPr>
        <w:pStyle w:val="Compact"/>
      </w:pPr>
      <w:r>
        <w:t xml:space="preserve">Glickman, T. (2021). *The Startup Nation’s Financial Infrastructure*. Tel Aviv: Academic Press.</w:t>
      </w:r>
    </w:p>
    <w:p>
      <w:pPr>
        <w:numPr>
          <w:ilvl w:val="0"/>
          <w:numId w:val="1002"/>
        </w:numPr>
        <w:pStyle w:val="Compact"/>
      </w:pPr>
      <w:r>
        <w:t xml:space="preserve">Israel Securities Authority. (2023). *Regulatory Framework for Digital Assets and Fintech*. ISA Publications.</w:t>
      </w:r>
    </w:p>
    <w:p>
      <w:pPr>
        <w:numPr>
          <w:ilvl w:val="0"/>
          <w:numId w:val="1002"/>
        </w:numPr>
        <w:pStyle w:val="Compact"/>
      </w:pPr>
      <w:r>
        <w:t xml:space="preserve">Nordhaus, W., &amp; Shomer, A. (2019). "The Economic Cost of Conflict in Israel." *IMF Working Paper Series*, WP/19/123.</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Landscape of Financial Analysis in Israel’s Capital: A Case Study of Tel Aviv’s Dynamic Market Ecosystem</dc:title>
  <dc:creator/>
  <cp:keywords/>
  <dcterms:created xsi:type="dcterms:W3CDTF">2026-07-29T08:01:27Z</dcterms:created>
  <dcterms:modified xsi:type="dcterms:W3CDTF">2026-07-29T08:01:27Z</dcterms:modified>
</cp:coreProperties>
</file>

<file path=docProps/custom.xml><?xml version="1.0" encoding="utf-8"?>
<Properties xmlns="http://schemas.openxmlformats.org/officeDocument/2006/custom-properties" xmlns:vt="http://schemas.openxmlformats.org/officeDocument/2006/docPropsVTypes"/>
</file>