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Post-Sanction</w:t>
      </w:r>
      <w:r>
        <w:t xml:space="preserve"> </w:t>
      </w:r>
      <w:r>
        <w:t xml:space="preserve">Era:</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Moscow</w:t>
      </w:r>
    </w:p>
    <w:bookmarkStart w:id="33" w:name="X91fc5ec776dd7202f6d0a66ee41614335d50d13"/>
    <w:p>
      <w:pPr>
        <w:pStyle w:val="Heading1"/>
      </w:pPr>
      <w:r>
        <w:t xml:space="preserve">The Evolving Landscape of Financial Analysis in the Post-Sanction Era: A Strategic Perspective for Moscow</w:t>
      </w:r>
    </w:p>
    <w:p>
      <w:pPr>
        <w:pStyle w:val="FirstParagraph"/>
      </w:pPr>
      <w:r>
        <w:t xml:space="preserve">John Doe, Ph.D.</w:t>
      </w:r>
      <w:r>
        <w:br/>
      </w:r>
      <w:r>
        <w:t xml:space="preserve">Institute of Economic Strategy, University of Economics and Law</w:t>
      </w:r>
      <w:r>
        <w:br/>
      </w:r>
      <w:r>
        <w:t xml:space="preserve">Moscow, Russian Federation</w:t>
      </w:r>
    </w:p>
    <w:p>
      <w:pPr>
        <w:pStyle w:val="BodyText"/>
      </w:pPr>
      <w:r>
        <w:rPr>
          <w:bCs/>
          <w:b/>
        </w:rPr>
        <w:t xml:space="preserve">Abstract:</w:t>
      </w:r>
      <w:r>
        <w:t xml:space="preserve"> </w:t>
      </w:r>
      <w:r>
        <w:t xml:space="preserve">The role of the Financial Analyst in Russia has undergone a profound transformation following the geopolitical shifts of 2022 and 2023. This article examines the structural changes within Moscow’s financial sector, focusing on how professionals adapt to decoupling from Western markets, alternative data sources, and new regulatory frameworks. By analyzing current trends in corporate governance, risk management, and digital transformation in Moscow-based firms, this study highlights the emerging competencies required for modern Financial Analysts. The findings suggest a shift from traditional valuation models based on international benchmarks toward resilience-focused analysis grounded in domestic supply chains and alternative trade partners.</w:t>
      </w:r>
    </w:p>
    <w:bookmarkStart w:id="20" w:name="introduction"/>
    <w:p>
      <w:pPr>
        <w:pStyle w:val="Heading2"/>
      </w:pPr>
      <w:r>
        <w:t xml:space="preserve">1. Introduction</w:t>
      </w:r>
    </w:p>
    <w:p>
      <w:pPr>
        <w:pStyle w:val="FirstParagraph"/>
      </w:pPr>
      <w:r>
        <w:t xml:space="preserve">The profession of the Financial Analyst has long been defined by the integration of global capital markets, standardized accounting practices, and cross-border investment flows. However, the economic landscape in</w:t>
      </w:r>
      <w:r>
        <w:t xml:space="preserve"> </w:t>
      </w:r>
      <w:r>
        <w:rPr>
          <w:bCs/>
          <w:b/>
        </w:rPr>
        <w:t xml:space="preserve">Russia Moscow</w:t>
      </w:r>
      <w:r>
        <w:t xml:space="preserve">, as the central hub of Russian finance, has witnessed unprecedented volatility and structural reorientation. As major financial institutions in</w:t>
      </w:r>
      <w:r>
        <w:t xml:space="preserve"> </w:t>
      </w:r>
      <w:r>
        <w:rPr>
          <w:bCs/>
          <w:b/>
        </w:rPr>
        <w:t xml:space="preserve">Russia Moscow</w:t>
      </w:r>
      <w:r>
        <w:t xml:space="preserve"> </w:t>
      </w:r>
      <w:r>
        <w:t xml:space="preserve">pivot away from Western jurisdictions due to extensive sanctions regimes, the mandate for the Financial Analyst has expanded beyond mere reporting and valuation.</w:t>
      </w:r>
    </w:p>
    <w:p>
      <w:pPr>
        <w:pStyle w:val="BodyText"/>
      </w:pPr>
      <w:r>
        <w:t xml:space="preserve">In this new context, being a Financial Analyst requires a nuanced understanding of geopolitical risk, alternative payment systems (such as SPFS instead of SWIFT), and the complexities of import substitution. This article argues that the modern Financial Analyst in</w:t>
      </w:r>
      <w:r>
        <w:t xml:space="preserve"> </w:t>
      </w:r>
      <w:r>
        <w:rPr>
          <w:bCs/>
          <w:b/>
        </w:rPr>
        <w:t xml:space="preserve">Russia Moscow</w:t>
      </w:r>
      <w:r>
        <w:t xml:space="preserve"> </w:t>
      </w:r>
      <w:r>
        <w:t xml:space="preserve">must serve not only as an interpreter of financial data but also as a strategic navigator through a fragmented global economic order. The following sections explore the specific challenges, methodological adaptations, and future trajectories for this critical professional role.</w:t>
      </w:r>
    </w:p>
    <w:bookmarkEnd w:id="20"/>
    <w:bookmarkStart w:id="23" w:name="X2af3f0e7e2f9d906dedab9c362339f4db73f11f"/>
    <w:p>
      <w:pPr>
        <w:pStyle w:val="Heading2"/>
      </w:pPr>
      <w:r>
        <w:t xml:space="preserve">2. Methodological Shifts in Valuation and Forecasting</w:t>
      </w:r>
    </w:p>
    <w:p>
      <w:pPr>
        <w:pStyle w:val="FirstParagraph"/>
      </w:pPr>
      <w:r>
        <w:t xml:space="preserve">Historically, Financial Analysts relied heavily on Discounted Cash Flow (DCF) models calibrated with risk-free rates derived from Western government bonds (e.g., US Treasuries). In</w:t>
      </w:r>
      <w:r>
        <w:t xml:space="preserve"> </w:t>
      </w:r>
      <w:r>
        <w:rPr>
          <w:bCs/>
          <w:b/>
        </w:rPr>
        <w:t xml:space="preserve">Russia Moscow</w:t>
      </w:r>
      <w:r>
        <w:t xml:space="preserve">, the decoupling from these benchmarks has necessitated a significant methodological overhaul. Analysts are now increasingly utilizing domestic indices, such as the MOEX Russia Index, and adjusting discount rates based on localized inflation expectations and liquidity premiums within the Russian banking sector.</w:t>
      </w:r>
    </w:p>
    <w:bookmarkStart w:id="21" w:name="the-decline-of-international-benchmarks"/>
    <w:p>
      <w:pPr>
        <w:pStyle w:val="Heading3"/>
      </w:pPr>
      <w:r>
        <w:t xml:space="preserve">2.1 The Decline of International Benchmarks</w:t>
      </w:r>
    </w:p>
    <w:p>
      <w:pPr>
        <w:pStyle w:val="FirstParagraph"/>
      </w:pPr>
      <w:r>
        <w:t xml:space="preserve">The applicability of international comparables for valuation has diminished. A Financial Analyst in</w:t>
      </w:r>
      <w:r>
        <w:t xml:space="preserve"> </w:t>
      </w:r>
      <w:r>
        <w:rPr>
          <w:bCs/>
          <w:b/>
        </w:rPr>
        <w:t xml:space="preserve">Russia Moscow</w:t>
      </w:r>
      <w:r>
        <w:t xml:space="preserve"> </w:t>
      </w:r>
      <w:r>
        <w:t xml:space="preserve">can no longer simply benchmark a local tech startup against Silicon Valley peers due to the lack of comparable transaction data and divergent regulatory environments. Instead, analysts must construct custom peer groups from nations within the BRICS framework or other friendly jurisdictions, a task that requires rigorous qualitative adjustment to account for differing legal protections and market maturities.</w:t>
      </w:r>
    </w:p>
    <w:bookmarkEnd w:id="21"/>
    <w:bookmarkStart w:id="22" w:name="scenario-planning-over-point-estimates"/>
    <w:p>
      <w:pPr>
        <w:pStyle w:val="Heading3"/>
      </w:pPr>
      <w:r>
        <w:t xml:space="preserve">2.2 Scenario Planning over Point Estimates</w:t>
      </w:r>
    </w:p>
    <w:p>
      <w:pPr>
        <w:pStyle w:val="FirstParagraph"/>
      </w:pPr>
      <w:r>
        <w:t xml:space="preserve">Given the high uncertainty in</w:t>
      </w:r>
      <w:r>
        <w:t xml:space="preserve"> </w:t>
      </w:r>
      <w:r>
        <w:rPr>
          <w:bCs/>
          <w:b/>
        </w:rPr>
        <w:t xml:space="preserve">Russia Moscow</w:t>
      </w:r>
      <w:r>
        <w:t xml:space="preserve">, point forecasts have become less reliable. Financial Analysts are shifting toward dynamic scenario planning, stress-testing portfolios against multiple geopolitical outcomes. This involves creating complex models that simulate supply chain disruptions, currency volatility (Ruble fluctuations), and capital controls. The ability to model "black swan" events has become a core competency for any Finance professional operating in this region.</w:t>
      </w:r>
    </w:p>
    <w:bookmarkEnd w:id="22"/>
    <w:bookmarkEnd w:id="23"/>
    <w:bookmarkStart w:id="26" w:name="X5c6d586d43412eb267845e51d8559f11172bb19"/>
    <w:p>
      <w:pPr>
        <w:pStyle w:val="Heading2"/>
      </w:pPr>
      <w:r>
        <w:t xml:space="preserve">3. Regulatory Compliance and Sanctions Management</w:t>
      </w:r>
    </w:p>
    <w:p>
      <w:pPr>
        <w:pStyle w:val="FirstParagraph"/>
      </w:pPr>
      <w:r>
        <w:t xml:space="preserve">A significant portion of the current workload for Financial Analysts in</w:t>
      </w:r>
      <w:r>
        <w:t xml:space="preserve"> </w:t>
      </w:r>
      <w:r>
        <w:rPr>
          <w:bCs/>
          <w:b/>
        </w:rPr>
        <w:t xml:space="preserve">Russia Moscow</w:t>
      </w:r>
      <w:r>
        <w:t xml:space="preserve"> </w:t>
      </w:r>
      <w:r>
        <w:t xml:space="preserve">involves compliance and sanctions screening. Unlike their counterparts in stable markets who focus on ESG (Environmental, Social, and Governance) criteria, analysts here must prioritize counterparty risk related to international restrictions.</w:t>
      </w:r>
    </w:p>
    <w:bookmarkStart w:id="24" w:name="due-diligence-in-a-fragmented-world"/>
    <w:p>
      <w:pPr>
        <w:pStyle w:val="Heading3"/>
      </w:pPr>
      <w:r>
        <w:t xml:space="preserve">3.1 Due Diligence in a Fragmented World</w:t>
      </w:r>
    </w:p>
    <w:p>
      <w:pPr>
        <w:pStyle w:val="FirstParagraph"/>
      </w:pPr>
      <w:r>
        <w:t xml:space="preserve">The role of due diligence has expanded dramatically. Financial Analysts are now required to scrutinize the ultimate beneficial ownership (UBO) of foreign partners with extreme scrutiny to ensure no indirect violations occur through third-country intermediaries. In Moscow’s banking and corporate sectors, this means that analysts spend considerable time mapping supply chains to identify potential choke points created by export controls.</w:t>
      </w:r>
    </w:p>
    <w:bookmarkEnd w:id="24"/>
    <w:bookmarkStart w:id="25" w:name="dual-use-technology-and-export-controls"/>
    <w:p>
      <w:pPr>
        <w:pStyle w:val="Heading3"/>
      </w:pPr>
      <w:r>
        <w:t xml:space="preserve">3.2 Dual-Use Technology and Export Controls</w:t>
      </w:r>
    </w:p>
    <w:p>
      <w:pPr>
        <w:pStyle w:val="FirstParagraph"/>
      </w:pPr>
      <w:r>
        <w:t xml:space="preserve">The analysis of technology imports has become critical for manufacturing firms in</w:t>
      </w:r>
      <w:r>
        <w:t xml:space="preserve"> </w:t>
      </w:r>
      <w:r>
        <w:rPr>
          <w:bCs/>
          <w:b/>
        </w:rPr>
        <w:t xml:space="preserve">Russia Moscow</w:t>
      </w:r>
      <w:r>
        <w:t xml:space="preserve">. Analysts must assess the viability of sourcing components from non-sanctioning countries, often at a higher cost or lower quality. This financial assessment is not just about cost-benefit analysis but also about operational continuity. The Financial Analyst acts as a bridge between procurement teams and executive leadership, providing data-driven insights on which supply chain alternatives are financially sustainable in the long term.</w:t>
      </w:r>
    </w:p>
    <w:bookmarkEnd w:id="25"/>
    <w:bookmarkEnd w:id="26"/>
    <w:bookmarkStart w:id="29" w:name="digital-transformation-and-local-fintech"/>
    <w:p>
      <w:pPr>
        <w:pStyle w:val="Heading2"/>
      </w:pPr>
      <w:r>
        <w:t xml:space="preserve">4. Digital Transformation and Local Fintech</w:t>
      </w:r>
    </w:p>
    <w:p>
      <w:pPr>
        <w:pStyle w:val="FirstParagraph"/>
      </w:pPr>
      <w:r>
        <w:t xml:space="preserve">The exit of major international fintech providers from</w:t>
      </w:r>
      <w:r>
        <w:t xml:space="preserve"> </w:t>
      </w:r>
      <w:r>
        <w:rPr>
          <w:bCs/>
          <w:b/>
        </w:rPr>
        <w:t xml:space="preserve">Russia Moscow</w:t>
      </w:r>
      <w:r>
        <w:t xml:space="preserve"> </w:t>
      </w:r>
      <w:r>
        <w:t xml:space="preserve">has accelerated the adoption of domestic financial technologies. Financial Analysts are now interacting with local big data platforms, proprietary risk scoring models, and digital ruble infrastructure.</w:t>
      </w:r>
    </w:p>
    <w:bookmarkStart w:id="27" w:name="data-sovereignty-and-analytics"/>
    <w:p>
      <w:pPr>
        <w:pStyle w:val="Heading3"/>
      </w:pPr>
      <w:r>
        <w:t xml:space="preserve">4.1 Data Sovereignty and Analytics</w:t>
      </w:r>
    </w:p>
    <w:p>
      <w:pPr>
        <w:pStyle w:val="FirstParagraph"/>
      </w:pPr>
      <w:r>
        <w:t xml:space="preserve">Data sovereignty laws in Russia require that personal and corporate financial data be stored within national borders. For the Financial Analyst in</w:t>
      </w:r>
      <w:r>
        <w:t xml:space="preserve"> </w:t>
      </w:r>
      <w:r>
        <w:rPr>
          <w:bCs/>
          <w:b/>
        </w:rPr>
        <w:t xml:space="preserve">Russia Moscow</w:t>
      </w:r>
      <w:r>
        <w:t xml:space="preserve">, this means working with local cloud providers and database systems. This shift has fostered a rise in domestic analytics firms, requiring analysts to adapt to new software ecosystems such as 1C:Enterprise or specialized Russian BI (Business Intelligence) tools rather than Tableau or Power BI.</w:t>
      </w:r>
    </w:p>
    <w:bookmarkEnd w:id="27"/>
    <w:bookmarkStart w:id="28" w:name="the-rise-of-alternative-credit-scoring"/>
    <w:p>
      <w:pPr>
        <w:pStyle w:val="Heading3"/>
      </w:pPr>
      <w:r>
        <w:t xml:space="preserve">4.2 The Rise of Alternative Credit Scoring</w:t>
      </w:r>
    </w:p>
    <w:bookmarkEnd w:id="28"/>
    <w:bookmarkEnd w:id="29"/>
    <w:bookmarkStart w:id="30" w:name="human-capital-and-education"/>
    <w:p>
      <w:pPr>
        <w:pStyle w:val="Heading2"/>
      </w:pPr>
      <w:r>
        <w:t xml:space="preserve">5. Human Capital and Education</w:t>
      </w:r>
    </w:p>
    <w:p>
      <w:pPr>
        <w:pStyle w:val="FirstParagraph"/>
      </w:pPr>
      <w:r>
        <w:t xml:space="preserve">The demand for Financial Analysts with specific geopolitical knowledge is reshaping educational curricula in</w:t>
      </w:r>
      <w:r>
        <w:t xml:space="preserve"> </w:t>
      </w:r>
      <w:r>
        <w:rPr>
          <w:bCs/>
          <w:b/>
        </w:rPr>
        <w:t xml:space="preserve">Russia Moscow</w:t>
      </w:r>
      <w:r>
        <w:t xml:space="preserve">. Universities and professional bodies are integrating courses on international sanctions law, alternative finance, and emerging market economics into their core programs. The ideal candidate is no longer just a number cruncher but a polymath capable of understanding legal constraints, political dynamics, and financial metrics simultaneously.</w:t>
      </w:r>
    </w:p>
    <w:p>
      <w:pPr>
        <w:pStyle w:val="BodyText"/>
      </w:pPr>
      <w:r>
        <w:t xml:space="preserve">Furthermore, soft skills such as adaptability and cross-cultural negotiation are becoming paramount. Since</w:t>
      </w:r>
      <w:r>
        <w:t xml:space="preserve"> </w:t>
      </w:r>
      <w:r>
        <w:rPr>
          <w:bCs/>
          <w:b/>
        </w:rPr>
        <w:t xml:space="preserve">Russia Moscow</w:t>
      </w:r>
      <w:r>
        <w:t xml:space="preserve"> </w:t>
      </w:r>
      <w:r>
        <w:t xml:space="preserve">businesses are increasingly engaging with partners in Asia, the Middle East, and Latin America, Financial Analysts must possess cultural competence to interpret financial practices that differ significantly from Western norms.</w:t>
      </w:r>
    </w:p>
    <w:bookmarkEnd w:id="30"/>
    <w:bookmarkStart w:id="31" w:name="conclusion"/>
    <w:p>
      <w:pPr>
        <w:pStyle w:val="Heading2"/>
      </w:pPr>
      <w:r>
        <w:t xml:space="preserve">6. Conclusion</w:t>
      </w:r>
    </w:p>
    <w:p>
      <w:pPr>
        <w:pStyle w:val="FirstParagraph"/>
      </w:pPr>
      <w:r>
        <w:t xml:space="preserve">The landscape for the Financial Analyst in</w:t>
      </w:r>
      <w:r>
        <w:t xml:space="preserve"> </w:t>
      </w:r>
      <w:r>
        <w:rPr>
          <w:bCs/>
          <w:b/>
        </w:rPr>
        <w:t xml:space="preserve">Russia Moscow</w:t>
      </w:r>
      <w:r>
        <w:t xml:space="preserve"> </w:t>
      </w:r>
      <w:r>
        <w:t xml:space="preserve">is one of both constraint and innovation. While the removal of Western capital and technology poses significant challenges, it has also catalyzed a unique evolution in financial practice. The modern Financial Analyst is characterized by resilience, adaptability, and a deep understanding of alternative economic networks.</w:t>
      </w:r>
    </w:p>
    <w:p>
      <w:pPr>
        <w:pStyle w:val="BodyText"/>
      </w:pPr>
      <w:r>
        <w:t xml:space="preserve">For institutions operating in</w:t>
      </w:r>
      <w:r>
        <w:t xml:space="preserve"> </w:t>
      </w:r>
      <w:r>
        <w:rPr>
          <w:bCs/>
          <w:b/>
        </w:rPr>
        <w:t xml:space="preserve">Russia Moscow</w:t>
      </w:r>
      <w:r>
        <w:t xml:space="preserve">, investing in the upskilling of their financial analysis teams is not merely an operational necessity but a strategic imperative. As the global economic order continues to fragment, those who can master the complexities of this new environment will be best positioned to navigate uncertainty and identify value where others see only risk. Future research should focus on longitudinal studies regarding the long-term profitability of firms that have successfully adapted their financial analysis frameworks in</w:t>
      </w:r>
      <w:r>
        <w:t xml:space="preserve"> </w:t>
      </w:r>
      <w:r>
        <w:rPr>
          <w:bCs/>
          <w:b/>
        </w:rPr>
        <w:t xml:space="preserve">Russia Moscow</w:t>
      </w:r>
      <w:r>
        <w:t xml:space="preserve"> </w:t>
      </w:r>
      <w:r>
        <w:t xml:space="preserve">over the past decade.</w:t>
      </w:r>
    </w:p>
    <w:bookmarkEnd w:id="31"/>
    <w:bookmarkStart w:id="32" w:name="references"/>
    <w:p>
      <w:pPr>
        <w:pStyle w:val="Heading2"/>
      </w:pPr>
      <w:r>
        <w:t xml:space="preserve">References</w:t>
      </w:r>
    </w:p>
    <w:p>
      <w:pPr>
        <w:numPr>
          <w:ilvl w:val="0"/>
          <w:numId w:val="1001"/>
        </w:numPr>
        <w:pStyle w:val="Compact"/>
      </w:pPr>
      <w:r>
        <w:t xml:space="preserve">Bank of Russia. (2023). *Annual Report on Financial Stability*. Moscow: Central Bank of Russia.</w:t>
      </w:r>
    </w:p>
    <w:p>
      <w:pPr>
        <w:numPr>
          <w:ilvl w:val="0"/>
          <w:numId w:val="1001"/>
        </w:numPr>
        <w:pStyle w:val="Compact"/>
      </w:pPr>
      <w:r>
        <w:t xml:space="preserve">Federal State Statistics Service (Rosstat). (2024). *Macroeconomic Indicators of the Russian Federation*. Moscow: Rosstat.</w:t>
      </w:r>
    </w:p>
    <w:p>
      <w:pPr>
        <w:numPr>
          <w:ilvl w:val="0"/>
          <w:numId w:val="1001"/>
        </w:numPr>
        <w:pStyle w:val="Compact"/>
      </w:pPr>
      <w:r>
        <w:t xml:space="preserve">Smirnov, A., &amp; Petrov, V. (2023). "Sanctions and Corporate Finance: Adaptation Strategies in Moscow." *Journal of Emerging Markets Finance*, 18(2), 45-67.</w:t>
      </w:r>
    </w:p>
    <w:p>
      <w:pPr>
        <w:numPr>
          <w:ilvl w:val="0"/>
          <w:numId w:val="1001"/>
        </w:numPr>
        <w:pStyle w:val="Compact"/>
      </w:pPr>
      <w:r>
        <w:t xml:space="preserve">World Bank. (2023). *Russia Economic Report: From Crisis to Recovery*. Washington, DC: World Bank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Financial Analysis in the Post-Sanction Era: A Strategic Perspective for Moscow</dc:title>
  <dc:creator/>
  <cp:keywords/>
  <dcterms:created xsi:type="dcterms:W3CDTF">2026-07-29T08:02:20Z</dcterms:created>
  <dcterms:modified xsi:type="dcterms:W3CDTF">2026-07-29T08:02:20Z</dcterms:modified>
</cp:coreProperties>
</file>

<file path=docProps/custom.xml><?xml version="1.0" encoding="utf-8"?>
<Properties xmlns="http://schemas.openxmlformats.org/officeDocument/2006/custom-properties" xmlns:vt="http://schemas.openxmlformats.org/officeDocument/2006/docPropsVTypes"/>
</file>