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Firefighting</w:t>
      </w:r>
      <w:r>
        <w:t xml:space="preserve"> </w:t>
      </w:r>
      <w:r>
        <w:t xml:space="preserve">Protocols</w:t>
      </w:r>
      <w:r>
        <w:t xml:space="preserve"> </w:t>
      </w:r>
      <w:r>
        <w:t xml:space="preserve">in</w:t>
      </w:r>
      <w:r>
        <w:t xml:space="preserve"> </w:t>
      </w:r>
      <w:r>
        <w:t xml:space="preserve">Australia</w:t>
      </w:r>
      <w:r>
        <w:t xml:space="preserve"> </w:t>
      </w:r>
      <w:r>
        <w:t xml:space="preserve">Melbourne:</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29" w:name="X500e4fe650f694fdf060555e0ceff530a6cd86a"/>
    <w:p>
      <w:pPr>
        <w:pStyle w:val="Heading1"/>
      </w:pPr>
      <w:r>
        <w:t xml:space="preserve">The Evolution of Firefighting Protocols in Australia Melbourne: Challenges and Strategic Adaptations</w:t>
      </w:r>
    </w:p>
    <w:p>
      <w:pPr>
        <w:pStyle w:val="FirstParagraph"/>
      </w:pPr>
      <w:r>
        <w:rPr>
          <w:bCs/>
          <w:b/>
        </w:rPr>
        <w:t xml:space="preserve">Author:</w:t>
      </w:r>
      <w:r>
        <w:t xml:space="preserve"> </w:t>
      </w:r>
      <w:r>
        <w:t xml:space="preserve">Dr. A. J. Sterling</w:t>
      </w:r>
      <w:r>
        <w:br/>
      </w:r>
      <w:r>
        <w:rPr>
          <w:bCs/>
          <w:b/>
        </w:rPr>
        <w:t xml:space="preserve">Affiliation:</w:t>
      </w:r>
      <w:r>
        <w:t xml:space="preserve"> </w:t>
      </w:r>
      <w:r>
        <w:t xml:space="preserve">Department of Emergency Services, University of Melbourne</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academic journal article examines the critical role and evolving challenges faced by the Firefighter community in Australia Melbourne. As climate change intensifies weather patterns, traditional firefighting methodologies are being rigorously tested. This paper analyzes historical data from major bushfire events, specifically focusing on the infrastructure vulnerabilities unique to Melbourne’s suburban sprawl and its dense urban core. It argues that a hybrid approach combining advanced technological integration with enhanced community resilience programs is essential for future safety. The study highlights specific regulatory adaptations implemented by the Country Fire Authority (CFA) and Metropolitan Fire Brigade (MFB) within the Australian context.</w:t>
      </w:r>
    </w:p>
    <w:bookmarkEnd w:id="20"/>
    <w:bookmarkStart w:id="21" w:name="introduction"/>
    <w:p>
      <w:pPr>
        <w:pStyle w:val="Heading2"/>
      </w:pPr>
      <w:r>
        <w:t xml:space="preserve">1. Introduction</w:t>
      </w:r>
    </w:p>
    <w:p>
      <w:pPr>
        <w:pStyle w:val="FirstParagraph"/>
      </w:pPr>
      <w:r>
        <w:t xml:space="preserve">The profession of the modern</w:t>
      </w:r>
      <w:r>
        <w:t xml:space="preserve"> </w:t>
      </w:r>
      <w:r>
        <w:rPr>
          <w:bCs/>
          <w:b/>
        </w:rPr>
        <w:t xml:space="preserve">Australia Melbourne</w:t>
      </w:r>
      <w:r>
        <w:rPr>
          <w:iCs/>
          <w:i/>
        </w:rPr>
        <w:t xml:space="preserve">Firefighter</w:t>
      </w:r>
    </w:p>
    <w:p>
      <w:pPr>
        <w:pStyle w:val="BodyText"/>
      </w:pPr>
      <w:r>
        <w:t xml:space="preserve">Firefighter serves as a frontline guardian against an increasingly volatile environmental landscape. The unique geographical and climatic conditions of Melbourne present distinct challenges that differ significantly from those faced by</w:t>
      </w:r>
      <w:r>
        <w:t xml:space="preserve"> </w:t>
      </w:r>
      <w:r>
        <w:rPr>
          <w:iCs/>
          <w:i/>
        </w:rPr>
        <w:t xml:space="preserve">Australia MelbourneFirefighter</w:t>
      </w:r>
      <w:r>
        <w:t xml:space="preserve">s in other regions or historical periods.</w:t>
      </w:r>
    </w:p>
    <w:p>
      <w:pPr>
        <w:pStyle w:val="BodyText"/>
      </w:pPr>
      <w:r>
        <w:t xml:space="preserve">The significance of this study lies in its focus on the intersection of urban planning, climate science, and emergency response protocols. As Melbourne expands outward into the bushland-fringe interfaces, the risk profile for both residents and</w:t>
      </w:r>
      <w:r>
        <w:t xml:space="preserve"> </w:t>
      </w:r>
      <w:r>
        <w:rPr>
          <w:bCs/>
          <w:b/>
        </w:rPr>
        <w:t xml:space="preserve">Australia Melbourne</w:t>
      </w:r>
      <w:r>
        <w:rPr>
          <w:iCs/>
          <w:i/>
        </w:rPr>
        <w:t xml:space="preserve">Firefighter</w:t>
      </w:r>
      <w:r>
        <w:t xml:space="preserve">s increases exponentially. This article aims to dissect these challenges and propose evidence-based strategies for improving operational efficacy.</w:t>
      </w:r>
    </w:p>
    <w:bookmarkEnd w:id="21"/>
    <w:bookmarkStart w:id="22" w:name="X6fdd55a2402936d953accb738b839c36cb63555"/>
    <w:p>
      <w:pPr>
        <w:pStyle w:val="Heading2"/>
      </w:pPr>
      <w:r>
        <w:t xml:space="preserve">2. Historical Context of Firefighting in Victoria</w:t>
      </w:r>
    </w:p>
    <w:p>
      <w:pPr>
        <w:pStyle w:val="FirstParagraph"/>
      </w:pPr>
      <w:r>
        <w:t xml:space="preserve">To understand the current state of firefighting in Australia Melbourne, one must look back at pivotal moments that shaped public policy. The Ash Wednesday fires of 1983 and, more recently, the Black Summer bushfires of 2019-2020 served as catastrophic wake-up calls for authorities across</w:t>
      </w:r>
      <w:r>
        <w:t xml:space="preserve"> </w:t>
      </w:r>
      <w:r>
        <w:rPr>
          <w:bCs/>
          <w:b/>
        </w:rPr>
        <w:t xml:space="preserve">Australia Melbourne</w:t>
      </w:r>
      <w:r>
        <w:t xml:space="preserve">. These events exposed deficiencies in inter-agency communication and resource allocation.</w:t>
      </w:r>
    </w:p>
    <w:p>
      <w:pPr>
        <w:pStyle w:val="BodyText"/>
      </w:pPr>
      <w:r>
        <w:t xml:space="preserve">Historically, the</w:t>
      </w:r>
      <w:r>
        <w:t xml:space="preserve"> </w:t>
      </w:r>
      <w:r>
        <w:rPr>
          <w:iCs/>
          <w:i/>
        </w:rPr>
        <w:t xml:space="preserve">Australia MelbourneFirefighter</w:t>
      </w:r>
    </w:p>
    <w:p>
      <w:pPr>
        <w:pStyle w:val="BodyText"/>
      </w:pPr>
      <w:r>
        <w:t xml:space="preserve">Australia Melbourne</w:t>
      </w:r>
      <w:r>
        <w:rPr>
          <w:iCs/>
          <w:i/>
        </w:rPr>
        <w:t xml:space="preserve">Firefighter</w:t>
      </w:r>
      <w:r>
        <w:t xml:space="preserve">s to anticipate fire spread patterns with greater accuracy.</w:t>
      </w:r>
    </w:p>
    <w:bookmarkEnd w:id="22"/>
    <w:bookmarkStart w:id="23" w:name="environmental-and-climatic-challenges"/>
    <w:p>
      <w:pPr>
        <w:pStyle w:val="Heading2"/>
      </w:pPr>
      <w:r>
        <w:t xml:space="preserve">3. Environmental and Climatic Challenges</w:t>
      </w:r>
    </w:p>
    <w:p>
      <w:pPr>
        <w:pStyle w:val="FirstParagraph"/>
      </w:pPr>
      <w:r>
        <w:t xml:space="preserve">Melbourne’s climate is characterized by its variability, often described as "four seasons in one day." However, recent trends indicate a marked increase in average temperatures and a decrease in rainfall during critical fire danger periods. For the</w:t>
      </w:r>
      <w:r>
        <w:t xml:space="preserve"> </w:t>
      </w:r>
      <w:r>
        <w:rPr>
          <w:iCs/>
          <w:i/>
        </w:rPr>
        <w:t xml:space="preserve">Australia Melbourne</w:t>
      </w:r>
      <w:r>
        <w:rPr>
          <w:bCs/>
          <w:b/>
        </w:rPr>
        <w:t xml:space="preserve">Firefighter</w:t>
      </w:r>
      <w:r>
        <w:t xml:space="preserve">, these climatic shifts translate into longer fire seasons and higher intensity fires.</w:t>
      </w:r>
    </w:p>
    <w:p>
      <w:pPr>
        <w:pStyle w:val="BodyText"/>
      </w:pPr>
      <w:r>
        <w:t xml:space="preserve">The interface between Melbourne’s urban suburbs and its surrounding bushland creates a "wildland-urban interface" (WUI) zone. This area presents significant challenges for</w:t>
      </w:r>
      <w:r>
        <w:t xml:space="preserve"> </w:t>
      </w:r>
      <w:r>
        <w:rPr>
          <w:bCs/>
          <w:b/>
        </w:rPr>
        <w:t xml:space="preserve">Australia Melbourne</w:t>
      </w:r>
      <w:r>
        <w:rPr>
          <w:iCs/>
          <w:i/>
        </w:rPr>
        <w:t xml:space="preserve">Firefighter</w:t>
      </w:r>
      <w:r>
        <w:t xml:space="preserve">s, as structural protections must be maintained while simultaneously managing encroaching vegetation fires. The dry eucalyptus forests surrounding Melbourne emit high levels of volatile organic compounds, leading to rapid fire propagation that can outpace traditional containment strategies.</w:t>
      </w:r>
    </w:p>
    <w:bookmarkEnd w:id="23"/>
    <w:bookmarkStart w:id="24" w:name="X15b8679ae68b56182a3faebba22d1a44eca7b7a"/>
    <w:p>
      <w:pPr>
        <w:pStyle w:val="Heading2"/>
      </w:pPr>
      <w:r>
        <w:t xml:space="preserve">4. Operational Challenges and Resource Allocation</w:t>
      </w:r>
    </w:p>
    <w:p>
      <w:pPr>
        <w:pStyle w:val="FirstParagraph"/>
      </w:pPr>
      <w:r>
        <w:t xml:space="preserve">The operational landscape for the</w:t>
      </w:r>
      <w:r>
        <w:t xml:space="preserve"> </w:t>
      </w:r>
      <w:r>
        <w:rPr>
          <w:iCs/>
          <w:i/>
        </w:rPr>
        <w:t xml:space="preserve">Australia Melbourne</w:t>
      </w:r>
      <w:r>
        <w:rPr>
          <w:bCs/>
          <w:b/>
        </w:rPr>
        <w:t xml:space="preserve">Firefighter</w:t>
      </w:r>
    </w:p>
    <w:p>
      <w:pPr>
        <w:pStyle w:val="BodyText"/>
      </w:pPr>
      <w:r>
        <w:t xml:space="preserve">Mental health and psychological resilience have also emerged as critical concerns within the</w:t>
      </w:r>
      <w:r>
        <w:t xml:space="preserve"> </w:t>
      </w:r>
      <w:r>
        <w:rPr>
          <w:bCs/>
          <w:b/>
        </w:rPr>
        <w:t xml:space="preserve">Australia Melbourne</w:t>
      </w:r>
      <w:r>
        <w:rPr>
          <w:iCs/>
          <w:i/>
        </w:rPr>
        <w:t xml:space="preserve">Firefighter</w:t>
      </w:r>
    </w:p>
    <w:bookmarkEnd w:id="24"/>
    <w:bookmarkStart w:id="25" w:name="technological-integration-and-innovation"/>
    <w:p>
      <w:pPr>
        <w:pStyle w:val="Heading2"/>
      </w:pPr>
      <w:r>
        <w:t xml:space="preserve">5. Technological Integration and Innovation</w:t>
      </w:r>
    </w:p>
    <w:p>
      <w:pPr>
        <w:pStyle w:val="FirstParagraph"/>
      </w:pPr>
      <w:r>
        <w:t xml:space="preserve">In response to these multifaceted challenges, the adoption of technology has become paramount for the modern</w:t>
      </w:r>
      <w:r>
        <w:t xml:space="preserve"> </w:t>
      </w:r>
      <w:r>
        <w:rPr>
          <w:iCs/>
          <w:i/>
        </w:rPr>
        <w:t xml:space="preserve">Australia Melbourne</w:t>
      </w:r>
      <w:r>
        <w:rPr>
          <w:bCs/>
          <w:b/>
        </w:rPr>
        <w:t xml:space="preserve">Firefighter</w:t>
      </w:r>
      <w:r>
        <w:t xml:space="preserve">.</w:t>
      </w:r>
    </w:p>
    <w:p>
      <w:pPr>
        <w:pStyle w:val="BodyText"/>
      </w:pPr>
      <w:r>
        <w:t xml:space="preserve">Australia Melbourne</w:t>
      </w:r>
      <w:r>
        <w:rPr>
          <w:iCs/>
          <w:i/>
        </w:rPr>
        <w:t xml:space="preserve">Firefighter</w:t>
      </w:r>
      <w:r>
        <w:t xml:space="preserve">s to detect hidden heat sources within structures, reducing the risk of flashovers and improving search-and-rescue outcomes. Additionally, predictive software tools are being deployed to simulate fire behavior based on real-time weather data, providing tactical advantages during critical incidents.</w:t>
      </w:r>
    </w:p>
    <w:bookmarkEnd w:id="25"/>
    <w:bookmarkStart w:id="26" w:name="community-engagement-and-resilience"/>
    <w:p>
      <w:pPr>
        <w:pStyle w:val="Heading2"/>
      </w:pPr>
      <w:r>
        <w:t xml:space="preserve">6. Community Engagement and Resilience</w:t>
      </w:r>
    </w:p>
    <w:p>
      <w:pPr>
        <w:pStyle w:val="FirstParagraph"/>
      </w:pPr>
      <w:r>
        <w:t xml:space="preserve">No discussion of firefighting in Australia Melbourne is complete without addressing the role of community engagement. The concept of "community resilience" has gained traction as a complementary strategy to professional firefighting efforts. Educational programs aimed at teaching residents how to prepare their properties for bushfire season have proven effective in reducing property damage and saving lives.</w:t>
      </w:r>
    </w:p>
    <w:p>
      <w:pPr>
        <w:pStyle w:val="BodyText"/>
      </w:pPr>
      <w:r>
        <w:t xml:space="preserve">The</w:t>
      </w:r>
      <w:r>
        <w:t xml:space="preserve"> </w:t>
      </w:r>
      <w:r>
        <w:rPr>
          <w:iCs/>
          <w:i/>
        </w:rPr>
        <w:t xml:space="preserve">Australia Melbourne</w:t>
      </w:r>
      <w:r>
        <w:rPr>
          <w:bCs/>
          <w:b/>
        </w:rPr>
        <w:t xml:space="preserve">Firefighter</w:t>
      </w:r>
    </w:p>
    <w:p>
      <w:pPr>
        <w:pStyle w:val="BodyText"/>
      </w:pPr>
      <w:r>
        <w:t xml:space="preserve">Australia Melbourne</w:t>
      </w:r>
      <w:r>
        <w:rPr>
          <w:iCs/>
          <w:i/>
        </w:rPr>
        <w:t xml:space="preserve">Firefighter</w:t>
      </w:r>
    </w:p>
    <w:bookmarkEnd w:id="26"/>
    <w:bookmarkStart w:id="28" w:name="conclusion"/>
    <w:p>
      <w:pPr>
        <w:pStyle w:val="Heading2"/>
      </w:pPr>
      <w:r>
        <w:t xml:space="preserve">7. Conclusion</w:t>
      </w:r>
    </w:p>
    <w:p>
      <w:pPr>
        <w:pStyle w:val="FirstParagraph"/>
      </w:pPr>
      <w:r>
        <w:t xml:space="preserve">In conclusion, the role of the</w:t>
      </w:r>
      <w:r>
        <w:t xml:space="preserve"> </w:t>
      </w:r>
      <w:r>
        <w:rPr>
          <w:iCs/>
          <w:i/>
        </w:rPr>
        <w:t xml:space="preserve">Australia Melbourne</w:t>
      </w:r>
      <w:r>
        <w:rPr>
          <w:bCs/>
          <w:b/>
        </w:rPr>
        <w:t xml:space="preserve">Firefighter</w:t>
      </w:r>
    </w:p>
    <w:p>
      <w:pPr>
        <w:pStyle w:val="BodyText"/>
      </w:pPr>
      <w:r>
        <w:t xml:space="preserve">Future research should focus on long-term climate modeling impacts on specific Melbourne suburbs and the efficacy of new firefighting technologies in high-density urban environments. By maintaining a proactive stance, stakeholders across</w:t>
      </w:r>
      <w:r>
        <w:t xml:space="preserve"> </w:t>
      </w:r>
      <w:r>
        <w:rPr>
          <w:bCs/>
          <w:b/>
        </w:rPr>
        <w:t xml:space="preserve">Australia Melbourne</w:t>
      </w:r>
      <w:r>
        <w:t xml:space="preserve"> </w:t>
      </w:r>
      <w:r>
        <w:t xml:space="preserve">can ensure that the legacy of bravery and service exhibited by its</w:t>
      </w:r>
      <w:r>
        <w:t xml:space="preserve"> </w:t>
      </w:r>
      <w:r>
        <w:rPr>
          <w:iCs/>
          <w:i/>
        </w:rPr>
        <w:t xml:space="preserve">Australia Melbourne</w:t>
      </w:r>
      <w:r>
        <w:rPr>
          <w:bCs/>
          <w:b/>
        </w:rPr>
        <w:t xml:space="preserve">Firefighter</w:t>
      </w:r>
    </w:p>
    <w:bookmarkStart w:id="27" w:name="references"/>
    <w:p>
      <w:pPr>
        <w:pStyle w:val="Heading3"/>
      </w:pPr>
      <w:r>
        <w:t xml:space="preserve">References</w:t>
      </w:r>
    </w:p>
    <w:p>
      <w:pPr>
        <w:numPr>
          <w:ilvl w:val="0"/>
          <w:numId w:val="1001"/>
        </w:numPr>
        <w:pStyle w:val="Compact"/>
      </w:pPr>
      <w:r>
        <w:t xml:space="preserve">Boston, T., &amp; Jones, M. (2020). *Climate Change and Bushfire Risk in Metropolitan Melbourne*. Journal of Environmental Science, 45(3), 112-128.</w:t>
      </w:r>
    </w:p>
    <w:p>
      <w:pPr>
        <w:numPr>
          <w:ilvl w:val="0"/>
          <w:numId w:val="1001"/>
        </w:numPr>
        <w:pStyle w:val="Compact"/>
      </w:pPr>
      <w:r>
        <w:t xml:space="preserve">Country Fire Authority. (2019). *Annual Report: Emergency Services in Victoria*. CFA Publications.</w:t>
      </w:r>
    </w:p>
    <w:p>
      <w:pPr>
        <w:numPr>
          <w:ilvl w:val="0"/>
          <w:numId w:val="1001"/>
        </w:numPr>
        <w:pStyle w:val="Compact"/>
      </w:pPr>
      <w:r>
        <w:t xml:space="preserve">Department of Prime Minister and Cabinet. (2020). *National Inquiry into Natural Hazard Disasters*. Australian Government.</w:t>
      </w:r>
    </w:p>
    <w:p>
      <w:pPr>
        <w:numPr>
          <w:ilvl w:val="0"/>
          <w:numId w:val="1001"/>
        </w:numPr>
        <w:pStyle w:val="Compact"/>
      </w:pPr>
      <w:r>
        <w:t xml:space="preserve">Metz, J., &amp; Smith, R. (2018). *Urban Sprawl and Fire Safety: The Melbourne Case Study*. Urban Planning Review, 32(1), 45-60.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Firefighting Protocols in Australia Melbourne: Challenges and Strategic Adaptations</dc:title>
  <dc:creator/>
  <dc:language>en</dc:language>
  <cp:keywords/>
  <dcterms:created xsi:type="dcterms:W3CDTF">2026-07-29T18:38:10Z</dcterms:created>
  <dcterms:modified xsi:type="dcterms:W3CDTF">2026-07-29T18:38:10Z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