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Jakarta:</w:t>
      </w:r>
      <w:r>
        <w:t xml:space="preserve"> </w:t>
      </w:r>
      <w:r>
        <w:t xml:space="preserve">A</w:t>
      </w:r>
      <w:r>
        <w:t xml:space="preserve"> </w:t>
      </w:r>
      <w:r>
        <w:t xml:space="preserve">Cultural</w:t>
      </w:r>
      <w:r>
        <w:t xml:space="preserve"> </w:t>
      </w:r>
      <w:r>
        <w:t xml:space="preserve">and</w:t>
      </w:r>
      <w:r>
        <w:t xml:space="preserve"> </w:t>
      </w:r>
      <w:r>
        <w:t xml:space="preserve">Economic</w:t>
      </w:r>
      <w:r>
        <w:t xml:space="preserve"> </w:t>
      </w:r>
      <w:r>
        <w:t xml:space="preserve">Analysis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and Impact of the Graphic Designer in Indonesia Jakarta: A Cultural and Economic Analysis</dc:title>
  <dc:creator/>
  <dc:language>en</dc:language>
  <cp:keywords/>
  <dcterms:created xsi:type="dcterms:W3CDTF">2026-09-27T00:02:08Z</dcterms:created>
  <dcterms:modified xsi:type="dcterms:W3CDTF">2026-09-27T00:02:08Z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