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Graphic</w:t>
      </w:r>
      <w:r>
        <w:t xml:space="preserve"> </w:t>
      </w:r>
      <w:r>
        <w:t xml:space="preserve">Design</w:t>
      </w:r>
      <w:r>
        <w:t xml:space="preserve"> </w:t>
      </w:r>
      <w:r>
        <w:t xml:space="preserve">in</w:t>
      </w:r>
      <w:r>
        <w:t xml:space="preserve"> </w:t>
      </w:r>
      <w:r>
        <w:t xml:space="preserve">the</w:t>
      </w:r>
      <w:r>
        <w:t xml:space="preserve"> </w:t>
      </w:r>
      <w:r>
        <w:t xml:space="preserve">Post-Conflict</w:t>
      </w:r>
      <w:r>
        <w:t xml:space="preserve"> </w:t>
      </w:r>
      <w:r>
        <w:t xml:space="preserve">Urban</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Baghdad,</w:t>
      </w:r>
      <w:r>
        <w:t xml:space="preserve"> </w:t>
      </w:r>
      <w:r>
        <w:t xml:space="preserve">Iraq</w:t>
      </w:r>
    </w:p>
    <w:bookmarkStart w:id="28" w:name="X4a0cc387272d40ed1a8b9ec89b88d194224ca06"/>
    <w:p>
      <w:pPr>
        <w:pStyle w:val="Heading1"/>
      </w:pPr>
      <w:r>
        <w:t xml:space="preserve">The Evolution and Strategic Importance of Graphic Design in the Post-Conflict Urban Landscape: A Case Study of Baghdad, Iraq</w:t>
      </w:r>
    </w:p>
    <w:p>
      <w:pPr>
        <w:pStyle w:val="FirstParagraph"/>
      </w:pPr>
      <w:r>
        <w:rPr>
          <w:bCs/>
          <w:b/>
        </w:rPr>
        <w:t xml:space="preserve">Author:</w:t>
      </w:r>
      <w:r>
        <w:t xml:space="preserve"> </w:t>
      </w:r>
      <w:r>
        <w:t xml:space="preserve">Department of Visual Arts and Media Studies, University of Baghdad</w:t>
      </w:r>
      <w:r>
        <w:br/>
      </w:r>
      <w:r>
        <w:rPr>
          <w:iCs/>
          <w:i/>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academic journal article examines the transformative role of the modern Graphic Designer within the socio-cultural and economic context of Baghdad, Iraq. Following years of geopolitical instability, Baghdad has emerged as a hub for digital innovation and urban renewal. This study analyzes how Graphic Designers are not merely aesthetic practitioners but are pivotal agents in rebranding national identity, facilitating public health communication, and driving the creative economy. Through a qualitative analysis of current design trends in the Iraqi capital, this paper argues that professional graphic design is essential for civic engagement and economic diversification in post-conflict societies.</w:t>
      </w:r>
    </w:p>
    <w:bookmarkEnd w:id="20"/>
    <w:bookmarkStart w:id="21" w:name="introduction"/>
    <w:p>
      <w:pPr>
        <w:pStyle w:val="Heading2"/>
      </w:pPr>
      <w:r>
        <w:t xml:space="preserve">1. Introduction</w:t>
      </w:r>
    </w:p>
    <w:p>
      <w:pPr>
        <w:pStyle w:val="FirstParagraph"/>
      </w:pPr>
      <w:r>
        <w:t xml:space="preserve">The city of Baghdad, with its rich historical legacy as a center of the Islamic Golden Age, has faced significant challenges over the past few decades. However, in recent years, there has been a notable resurgence in cultural production and digital literacy among its youth population. Central to this resurgence is the profession of Graphic Design. In contemporary Iraqi society, particularly within Baghdad's vibrant districts such as Karrada and Al-Karrada, the role of the Graphic Designer has expanded beyond commercial advertising into realms of social activism, urban wayfinding, and brand development for startups.</w:t>
      </w:r>
    </w:p>
    <w:p>
      <w:pPr>
        <w:pStyle w:val="BodyText"/>
      </w:pPr>
      <w:r>
        <w:t xml:space="preserve">This article posits that understanding the specific语境 (context) of Baghdad is crucial for appreciating the nuances of modern Iraqi graphic design. Unlike Western contexts where design may focus primarily on consumerism, in Iraq Baghdad, design serves as a tool for reconstruction—reconstructing not just physical infrastructure, but also social trust and economic viability. The Graphic Designer in this region operates at the intersection of traditional Arabic calligraphy and modern digital typography, creating a unique visual language that resonates with both local populations and international observers.</w:t>
      </w:r>
    </w:p>
    <w:bookmarkEnd w:id="21"/>
    <w:bookmarkStart w:id="22" w:name="Xc89fb1d9d0911bf59b95a54d613ff6cf97500ec"/>
    <w:p>
      <w:pPr>
        <w:pStyle w:val="Heading2"/>
      </w:pPr>
      <w:r>
        <w:t xml:space="preserve">2. Historical Context: From State Media to Digital Independence</w:t>
      </w:r>
    </w:p>
    <w:p>
      <w:pPr>
        <w:pStyle w:val="FirstParagraph"/>
      </w:pPr>
      <w:r>
        <w:t xml:space="preserve">To understand the current state of graphic design in Baghdad, one must briefly examine its historical trajectory. During previous decades, visual communication was largely controlled by state media, resulting in a monolithic aesthetic dominated by propaganda and rigid typography. The fall of those regimes and the subsequent opening of digital markets allowed for a democratization of visual culture.</w:t>
      </w:r>
    </w:p>
    <w:p>
      <w:pPr>
        <w:pStyle w:val="BodyText"/>
      </w:pPr>
      <w:r>
        <w:t xml:space="preserve">In the 2010s and early 2020s, Baghdad witnessed an explosion of private media outlets, NGOs, and small-to-medium enterprises (SMEs). This shift created a high demand for skilled Graphic Designers who could navigate complex political sensitivities while appealing to a youthful demographic. The rise of social media platforms in Iraq served as the primary canvas for these designers. Consequently, the modern Iraqi Graphic Designer is often required to be proficient in motion graphics, UI/UX design, and print production, reflecting a hybrid skill set necessitated by limited infrastructure but high mobile internet penetration.</w:t>
      </w:r>
    </w:p>
    <w:bookmarkEnd w:id="22"/>
    <w:bookmarkStart w:id="23" w:name="X42cd4659824ac5b3408874b86a0ae9dc2eb1ec4"/>
    <w:p>
      <w:pPr>
        <w:pStyle w:val="Heading2"/>
      </w:pPr>
      <w:r>
        <w:t xml:space="preserve">3. The Role of the Graphic Designer in Civic Engagement</w:t>
      </w:r>
    </w:p>
    <w:p>
      <w:pPr>
        <w:pStyle w:val="FirstParagraph"/>
      </w:pPr>
      <w:r>
        <w:t xml:space="preserve">In Baghdad, the power of visual communication is increasingly being leveraged for civic engagement. Graphic Designers are instrumental in public health campaigns, educational initiatives, and environmental awareness projects. For instance, recent initiatives by local NGOs in Baghdad have utilized infographics to explain voting processes and health safety protocols during pandemic fluctuations.</w:t>
      </w:r>
    </w:p>
    <w:p>
      <w:pPr>
        <w:pStyle w:val="BodyText"/>
      </w:pPr>
      <w:r>
        <w:t xml:space="preserve">The effectiveness of these campaigns relies heavily on the designer's ability to bridge linguistic divides. Iraq is home to diverse ethnic and religious groups. A competent Graphic Designer in Baghdad must employ visual semiotics that are inclusive rather than exclusive. This involves selecting color palettes, symbols, and imagery that respect cultural sensitivities while promoting universal values such as unity, hygiene, and education. The design aesthetic often incorporates elements of traditional Islamic geometry mixed with modern minimalism, creating a sense of continuity with the past while looking toward the future.</w:t>
      </w:r>
    </w:p>
    <w:bookmarkEnd w:id="23"/>
    <w:bookmarkStart w:id="24" w:name="Xc077128a60c8dd84933d13824ab75ff7b5e7f9f"/>
    <w:p>
      <w:pPr>
        <w:pStyle w:val="Heading2"/>
      </w:pPr>
      <w:r>
        <w:t xml:space="preserve">4. Economic Implications: Design as an Exportable Service</w:t>
      </w:r>
    </w:p>
    <w:p>
      <w:pPr>
        <w:pStyle w:val="FirstParagraph"/>
      </w:pPr>
      <w:r>
        <w:t xml:space="preserve">Beyond local impact, Graphic Design has become a significant component of Iraq’s emerging creative economy. Freelance platforms have allowed Graphic Designers in Baghdad to work with international clients, bringing foreign currency into the local economy. This digital nomadism is particularly prevalent among young Iraqi professionals who find limited opportunities in traditional sectors due to economic fluctuations.</w:t>
      </w:r>
    </w:p>
    <w:p>
      <w:pPr>
        <w:pStyle w:val="BodyText"/>
      </w:pPr>
      <w:r>
        <w:t xml:space="preserve">Furthermore, domestic branding efforts by Iraqi companies require high-quality design services. From coffee shops in Al-Mansour to tech startups in the Baghdad Smart City project, Graphic Designers are crafting visual identities that signal modernity and reliability. This professionalization of design services helps combat the stereotype of Iraq as solely a conflict zone, presenting instead a narrative of innovation and cultural vitality. The demand for branding experts has led to the establishment of local design studios in Baghdad that compete on quality with regional hubs like Dubai and Beirut.</w:t>
      </w:r>
    </w:p>
    <w:bookmarkEnd w:id="24"/>
    <w:bookmarkStart w:id="25" w:name="challenges-and-barriers"/>
    <w:p>
      <w:pPr>
        <w:pStyle w:val="Heading2"/>
      </w:pPr>
      <w:r>
        <w:t xml:space="preserve">5. Challenges and Barriers</w:t>
      </w:r>
    </w:p>
    <w:p>
      <w:pPr>
        <w:pStyle w:val="FirstParagraph"/>
      </w:pPr>
      <w:r>
        <w:t xml:space="preserve">Despite the progress, Graphic Designers in Baghdad face substantial challenges. Infrastructure issues, including intermittent electricity and internet connectivity, can hinder productivity. Additionally, there is a lack of formalized academic curricula that adequately combine technical software skills with critical theory and art history in local universities.</w:t>
      </w:r>
    </w:p>
    <w:p>
      <w:pPr>
        <w:pStyle w:val="BodyText"/>
      </w:pPr>
      <w:r>
        <w:t xml:space="preserve">Censorship remains a subtle but pervasive concern. Designers must often navigate self-censorship to avoid offending political or religious factions. This constraint can stifle creativity and limit the scope of artistic expression. Moreover, copyright laws are not always strictly enforced, leading to issues of plagiarism and undervaluation of intellectual property among local clients who may view design as a commodity rather than a specialized professional service.</w:t>
      </w:r>
    </w:p>
    <w:bookmarkEnd w:id="25"/>
    <w:bookmarkStart w:id="26" w:name="conclusion"/>
    <w:p>
      <w:pPr>
        <w:pStyle w:val="Heading2"/>
      </w:pPr>
      <w:r>
        <w:t xml:space="preserve">6. Conclusion</w:t>
      </w:r>
    </w:p>
    <w:p>
      <w:pPr>
        <w:pStyle w:val="FirstParagraph"/>
      </w:pPr>
      <w:r>
        <w:t xml:space="preserve">The role of the Graphic Designer in Baghdad is far more complex and consequential than that of a mere aesthetic decorator. In the context of post-conflict recovery, these professionals are architects of meaning. They help construct a new visual identity for Iraq that is dynamic, inclusive, and forward-looking. By integrating traditional cultural elements with global design standards, Iraqi designers in Baghdad are contributing to the soft power and economic resilience of their nation.</w:t>
      </w:r>
    </w:p>
    <w:p>
      <w:pPr>
        <w:pStyle w:val="BodyText"/>
      </w:pPr>
      <w:r>
        <w:t xml:space="preserve">Future research should focus on longitudinal studies of how design education reforms might further empower this workforce. Furthermore, increased support for intellectual property rights and professional associations could elevate the status of Graphic Designers in Iraq. As Baghdad continues to evolve, its designers will undoubtedly remain at the forefront, shaping how the city sees itself and how it is perceived by the world.</w:t>
      </w:r>
    </w:p>
    <w:bookmarkEnd w:id="26"/>
    <w:bookmarkStart w:id="27" w:name="references"/>
    <w:p>
      <w:pPr>
        <w:pStyle w:val="Heading2"/>
      </w:pPr>
      <w:r>
        <w:t xml:space="preserve">7. References</w:t>
      </w:r>
    </w:p>
    <w:p>
      <w:pPr>
        <w:pStyle w:val="FirstParagraph"/>
      </w:pPr>
      <w:r>
        <w:rPr>
          <w:iCs/>
          <w:i/>
        </w:rPr>
        <w:t xml:space="preserve">Note: The following references are illustrative for this academic exercise.</w:t>
      </w:r>
    </w:p>
    <w:p>
      <w:pPr>
        <w:numPr>
          <w:ilvl w:val="0"/>
          <w:numId w:val="1001"/>
        </w:numPr>
        <w:pStyle w:val="Compact"/>
      </w:pPr>
      <w:r>
        <w:t xml:space="preserve">Ahmed, K. (2019).</w:t>
      </w:r>
      <w:r>
        <w:t xml:space="preserve"> </w:t>
      </w:r>
      <w:r>
        <w:rPr>
          <w:bCs/>
          <w:b/>
        </w:rPr>
        <w:t xml:space="preserve">Digital Media and Social Change in Iraq.</w:t>
      </w:r>
      <w:r>
        <w:t xml:space="preserve"> </w:t>
      </w:r>
      <w:r>
        <w:t xml:space="preserve">Journal of Middle Eastern Studies, 45(2), 112-130.</w:t>
      </w:r>
    </w:p>
    <w:p>
      <w:pPr>
        <w:numPr>
          <w:ilvl w:val="0"/>
          <w:numId w:val="1001"/>
        </w:numPr>
        <w:pStyle w:val="Compact"/>
      </w:pPr>
      <w:r>
        <w:t xml:space="preserve">Brown, L., &amp; Al-Jubouri, S. (2021).</w:t>
      </w:r>
      <w:r>
        <w:t xml:space="preserve"> </w:t>
      </w:r>
      <w:r>
        <w:rPr>
          <w:bCs/>
          <w:b/>
        </w:rPr>
        <w:t xml:space="preserve">Visual Semiotics in Post-Conflict Urban Spaces: The Case of Baghdad.</w:t>
      </w:r>
      <w:r>
        <w:t xml:space="preserve"> </w:t>
      </w:r>
      <w:r>
        <w:t xml:space="preserve">International Journal of Design Practices, 8(4), 45-60.</w:t>
      </w:r>
    </w:p>
    <w:p>
      <w:pPr>
        <w:numPr>
          <w:ilvl w:val="0"/>
          <w:numId w:val="1001"/>
        </w:numPr>
        <w:pStyle w:val="Compact"/>
      </w:pPr>
      <w:r>
        <w:t xml:space="preserve">Gupta, R. (2022).</w:t>
      </w:r>
      <w:r>
        <w:t xml:space="preserve"> </w:t>
      </w:r>
      <w:r>
        <w:rPr>
          <w:bCs/>
          <w:b/>
        </w:rPr>
        <w:t xml:space="preserve">The Creative Economy in the Gulf and Levant Region.</w:t>
      </w:r>
      <w:r>
        <w:t xml:space="preserve"> </w:t>
      </w:r>
      <w:r>
        <w:t xml:space="preserve">Economic Development Quarterly, 36(1), 78-95.</w:t>
      </w:r>
    </w:p>
    <w:p>
      <w:pPr>
        <w:numPr>
          <w:ilvl w:val="0"/>
          <w:numId w:val="1001"/>
        </w:numPr>
        <w:pStyle w:val="Compact"/>
      </w:pPr>
      <w:r>
        <w:t xml:space="preserve">Hassan, M. (2018).</w:t>
      </w:r>
      <w:r>
        <w:t xml:space="preserve"> </w:t>
      </w:r>
      <w:r>
        <w:rPr>
          <w:bCs/>
          <w:b/>
        </w:rPr>
        <w:t xml:space="preserve">From Propaganda to Public Service: The Evolution of Iraqi Graphic Design.</w:t>
      </w:r>
      <w:r>
        <w:t xml:space="preserve"> </w:t>
      </w:r>
      <w:r>
        <w:t xml:space="preserve">Baghdad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Graphic Design in the Post-Conflict Urban Landscape: A Case Study of Baghdad, Iraq</dc:title>
  <dc:creator/>
  <cp:keywords/>
  <dcterms:created xsi:type="dcterms:W3CDTF">2026-07-29T06:56:23Z</dcterms:created>
  <dcterms:modified xsi:type="dcterms:W3CDTF">2026-07-29T06:56:23Z</dcterms:modified>
</cp:coreProperties>
</file>

<file path=docProps/custom.xml><?xml version="1.0" encoding="utf-8"?>
<Properties xmlns="http://schemas.openxmlformats.org/officeDocument/2006/custom-properties" xmlns:vt="http://schemas.openxmlformats.org/officeDocument/2006/docPropsVTypes"/>
</file>