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Semiotic</w:t>
      </w:r>
      <w:r>
        <w:t xml:space="preserve"> </w:t>
      </w:r>
      <w:r>
        <w:t xml:space="preserve">Intersection:</w:t>
      </w:r>
      <w:r>
        <w:t xml:space="preserve"> </w:t>
      </w:r>
      <w:r>
        <w:t xml:space="preserve">Graphic</w:t>
      </w:r>
      <w:r>
        <w:t xml:space="preserve"> </w:t>
      </w:r>
      <w:r>
        <w:t xml:space="preserve">Design</w:t>
      </w:r>
      <w:r>
        <w:t xml:space="preserve"> </w:t>
      </w:r>
      <w:r>
        <w:t xml:space="preserve">Praxis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Contemporary</w:t>
      </w:r>
      <w:r>
        <w:t xml:space="preserve"> </w:t>
      </w:r>
      <w:r>
        <w:t xml:space="preserve">Israel-Jerusalem</w:t>
      </w:r>
    </w:p>
    <w:bookmarkStart w:id="26" w:name="X135fa96ef963e3d4fc1be48b4f2a3df5ca40a81"/>
    <w:p>
      <w:pPr>
        <w:pStyle w:val="Heading1"/>
      </w:pPr>
      <w:r>
        <w:t xml:space="preserve">The Semiotic Intersection:</w:t>
      </w:r>
      <w:r>
        <w:br/>
      </w:r>
      <w:r>
        <w:t xml:space="preserve">A Critical Analysis of Graphic Design Praxis in Contemporary Israel-Jerusalem</w:t>
      </w:r>
    </w:p>
    <w:p>
      <w:pPr>
        <w:pStyle w:val="FirstParagraph"/>
      </w:pPr>
      <w:r>
        <w:t xml:space="preserve">Author: [Name Redacted for Peer Review]</w:t>
      </w:r>
    </w:p>
    <w:p>
      <w:pPr>
        <w:pStyle w:val="BodyText"/>
      </w:pPr>
      <w:r>
        <w:t xml:space="preserve">Department of Visual Communication Studies, Academic Institute for Urban Arts</w:t>
      </w:r>
    </w:p>
    <w:p>
      <w:pPr>
        <w:pStyle w:val="BodyText"/>
      </w:pPr>
      <w:r>
        <w:rPr>
          <w:bCs/>
          <w:b/>
        </w:rPr>
        <w:t xml:space="preserve">Abstract</w:t>
      </w:r>
      <w:r>
        <w:br/>
      </w:r>
      <w:r>
        <w:br/>
      </w:r>
      <w:r>
        <w:t xml:space="preserve">This article examines the multifaceted role of the Graphic Designer within the socio-political and cultural landscape of Israel-Jerusalem. As a city characterized by profound historical stratification, religious significance, and contemporary geopolitical tension, Jerusalem presents a unique crucible for visual communication. The modern</w:t>
      </w:r>
      <w:r>
        <w:t xml:space="preserve"> </w:t>
      </w:r>
      <w:r>
        <w:rPr>
          <w:bCs/>
          <w:b/>
        </w:rPr>
        <w:t xml:space="preserve">Graphic Designer</w:t>
      </w:r>
      <w:r>
        <w:t xml:space="preserve"> </w:t>
      </w:r>
      <w:r>
        <w:t xml:space="preserve">operating in this region is not merely an aesthetician but a semiotic mediator navigating complex identities. This paper argues that design practice in</w:t>
      </w:r>
      <w:r>
        <w:t xml:space="preserve"> </w:t>
      </w:r>
      <w:r>
        <w:rPr>
          <w:bCs/>
          <w:b/>
        </w:rPr>
        <w:t xml:space="preserve">Israel Jerusalem</w:t>
      </w:r>
      <w:r>
        <w:t xml:space="preserve"> </w:t>
      </w:r>
      <w:r>
        <w:t xml:space="preserve">serves as a critical interface between tradition and modernity, Hebrew and Arabic linguistic duality, and local heritage with global digital trends. Through an analysis of case studies ranging from municipal signage to startup branding, this study elucidates how the</w:t>
      </w:r>
      <w:r>
        <w:t xml:space="preserve"> </w:t>
      </w:r>
      <w:r>
        <w:rPr>
          <w:bCs/>
          <w:b/>
        </w:rPr>
        <w:t xml:space="preserve">Graphic Designer</w:t>
      </w:r>
      <w:r>
        <w:t xml:space="preserve"> </w:t>
      </w:r>
      <w:r>
        <w:t xml:space="preserve">constructs visual narratives that either bridge divides or reinforce separations within the urban fabric of</w:t>
      </w:r>
      <w:r>
        <w:t xml:space="preserve"> </w:t>
      </w:r>
      <w:r>
        <w:rPr>
          <w:bCs/>
          <w:b/>
        </w:rPr>
        <w:t xml:space="preserve">Israel Jerusalem</w:t>
      </w:r>
      <w:r>
        <w:t xml:space="preserve">.</w:t>
      </w:r>
    </w:p>
    <w:bookmarkStart w:id="20" w:name="Xd9cc401db4d81ff59ef29d5e36870ba0b2a1ce4"/>
    <w:p>
      <w:pPr>
        <w:pStyle w:val="Heading2"/>
      </w:pPr>
      <w:r>
        <w:t xml:space="preserve">1. Introduction: The Visual Complexity of a Holy City</w:t>
      </w:r>
    </w:p>
    <w:p>
      <w:pPr>
        <w:pStyle w:val="FirstParagraph"/>
      </w:pPr>
      <w:r>
        <w:t xml:space="preserve">In the realm of contemporary design theory, few cities offer as dense a semiotic field as Jerusalem. For decades, academic discourse has treated urban visual environments in mono-cultural contexts; however, the reality of</w:t>
      </w:r>
      <w:r>
        <w:t xml:space="preserve"> </w:t>
      </w:r>
      <w:r>
        <w:rPr>
          <w:bCs/>
          <w:b/>
        </w:rPr>
        <w:t xml:space="preserve">Israel Jerusalem</w:t>
      </w:r>
      <w:r>
        <w:t xml:space="preserve"> </w:t>
      </w:r>
      <w:r>
        <w:t xml:space="preserve">demands a polyphonic approach to visual analysis. The city is not simply a geographic location but a contested symbol where history, theology, and politics intersect daily. Consequently, the role of the</w:t>
      </w:r>
      <w:r>
        <w:t xml:space="preserve"> </w:t>
      </w:r>
      <w:r>
        <w:rPr>
          <w:bCs/>
          <w:b/>
        </w:rPr>
        <w:t xml:space="preserve">Graphic Designer</w:t>
      </w:r>
      <w:r>
        <w:t xml:space="preserve"> </w:t>
      </w:r>
      <w:r>
        <w:t xml:space="preserve">transcends mere commercial utility. In this context, design becomes an act of spatial negotiation.</w:t>
      </w:r>
    </w:p>
    <w:p>
      <w:pPr>
        <w:pStyle w:val="BodyText"/>
      </w:pPr>
      <w:r>
        <w:t xml:space="preserve">The primary thesis of this article posits that the identity of a</w:t>
      </w:r>
      <w:r>
        <w:t xml:space="preserve"> </w:t>
      </w:r>
      <w:r>
        <w:rPr>
          <w:bCs/>
          <w:b/>
        </w:rPr>
        <w:t xml:space="preserve">Graphic Designer</w:t>
      </w:r>
      <w:r>
        <w:t xml:space="preserve"> </w:t>
      </w:r>
      <w:r>
        <w:t xml:space="preserve">in</w:t>
      </w:r>
    </w:p>
    <w:p>
      <w:pPr>
        <w:pStyle w:val="BodyText"/>
      </w:pPr>
      <w:r>
        <w:t xml:space="preserve">Israel Jerusalem</w:t>
      </w:r>
    </w:p>
    <w:bookmarkEnd w:id="20"/>
    <w:bookmarkStart w:id="21" w:name="Xa62563b35f2d8b8057c37786ffef0681c3967c6"/>
    <w:p>
      <w:pPr>
        <w:pStyle w:val="Heading2"/>
      </w:pPr>
      <w:r>
        <w:t xml:space="preserve">2. Linguistic Duality and Bilingual Design Systems</w:t>
      </w:r>
    </w:p>
    <w:p>
      <w:pPr>
        <w:pStyle w:val="FirstParagraph"/>
      </w:pPr>
      <w:r>
        <w:t xml:space="preserve">A defining characteristic of design work in</w:t>
      </w:r>
      <w:r>
        <w:t xml:space="preserve"> </w:t>
      </w:r>
      <w:r>
        <w:rPr>
          <w:bCs/>
          <w:b/>
        </w:rPr>
        <w:t xml:space="preserve">Israel Jerusalem</w:t>
      </w:r>
      <w:r>
        <w:t xml:space="preserve"> </w:t>
      </w:r>
      <w:r>
        <w:t xml:space="preserve">is the mandatory engagement with bilingualism. Unlike many Western markets where English serves as a universal lingua franca, the domestic market in this region requires rigorous integration of Hebrew and Arabic scripts. For the</w:t>
      </w:r>
      <w:r>
        <w:t xml:space="preserve"> </w:t>
      </w:r>
      <w:r>
        <w:rPr>
          <w:bCs/>
          <w:b/>
        </w:rPr>
        <w:t xml:space="preserve">Graphic Designer</w:t>
      </w:r>
      <w:r>
        <w:t xml:space="preserve">, this presents significant typographic challenges.</w:t>
      </w:r>
    </w:p>
    <w:p>
      <w:pPr>
        <w:pStyle w:val="BodyText"/>
      </w:pPr>
      <w:r>
        <w:t xml:space="preserve">The visual weight, directionality (right-to-left for both languages), and stylistic heritage of Hebrew and Arabic fonts differ vastly. A failure to harmonize these scripts can result in a design that feels disjointed or exclusionary. Recent trends in</w:t>
      </w:r>
      <w:r>
        <w:t xml:space="preserve"> </w:t>
      </w:r>
      <w:r>
        <w:rPr>
          <w:bCs/>
          <w:b/>
        </w:rPr>
        <w:t xml:space="preserve">Israel Jerusalem</w:t>
      </w:r>
      <w:r>
        <w:t xml:space="preserve"> </w:t>
      </w:r>
      <w:r>
        <w:t xml:space="preserve">show a move toward "neutral" typography, where designers seek sans-serif typefaces that minimize the cultural baggage associated with specific calligraphic traditions. However, this approach is controversial. Critics argue that erasing distinct typographic identities contributes to the erasure of cultural presence.</w:t>
      </w:r>
    </w:p>
    <w:p>
      <w:pPr>
        <w:pStyle w:val="BodyText"/>
      </w:pPr>
      <w:r>
        <w:t xml:space="preserve">Furthermore, code-switching in visual design has emerged as a strategy employed by</w:t>
      </w:r>
      <w:r>
        <w:t xml:space="preserve"> </w:t>
      </w:r>
      <w:r>
        <w:rPr>
          <w:bCs/>
          <w:b/>
        </w:rPr>
        <w:t xml:space="preserve">Graphic Designer</w:t>
      </w:r>
      <w:r>
        <w:t xml:space="preserve">s in commercial sectors targeting both Jewish and Arab citizens. By integrating elements of Maghrebi calligraphy with modernist grid structures, designers create a visual bridge that acknowledges the shared urban space of</w:t>
      </w:r>
      <w:r>
        <w:t xml:space="preserve"> </w:t>
      </w:r>
      <w:r>
        <w:rPr>
          <w:bCs/>
          <w:b/>
        </w:rPr>
        <w:t xml:space="preserve">Israel Jerusalem</w:t>
      </w:r>
      <w:r>
        <w:t xml:space="preserve">. This practice suggests that effective design in this region is not just about aesthetics but about fostering a sense of coexistence through visual equity.</w:t>
      </w:r>
    </w:p>
    <w:bookmarkEnd w:id="21"/>
    <w:bookmarkStart w:id="22" w:name="Xee65eb058c40d634a5d01fe95aa3324103fc0d4"/>
    <w:p>
      <w:pPr>
        <w:pStyle w:val="Heading2"/>
      </w:pPr>
      <w:r>
        <w:t xml:space="preserve">3. The Tech-Establishment Aesthetic vs. Traditional Heritage</w:t>
      </w:r>
    </w:p>
    <w:p>
      <w:pPr>
        <w:pStyle w:val="FirstParagraph"/>
      </w:pPr>
      <w:r>
        <w:rPr>
          <w:bCs/>
          <w:b/>
        </w:rPr>
        <w:t xml:space="preserve">Israel Jerusalem</w:t>
      </w:r>
      <w:r>
        <w:t xml:space="preserve"> </w:t>
      </w:r>
      <w:r>
        <w:t xml:space="preserve">has transformed over the last two decades into a global hub for technology and innovation. This shift has introduced a dominant design aesthetic characterized by minimalism, data visualization, and user-centric interfaces—the hallmark of the global tech industry. The</w:t>
      </w:r>
      <w:r>
        <w:t xml:space="preserve"> </w:t>
      </w:r>
      <w:r>
        <w:rPr>
          <w:bCs/>
          <w:b/>
        </w:rPr>
        <w:t xml:space="preserve">Graphic Designer</w:t>
      </w:r>
      <w:r>
        <w:t xml:space="preserve"> </w:t>
      </w:r>
      <w:r>
        <w:t xml:space="preserve">in this sector is often tasked with creating brands that project efficiency, security, and future-orientation.</w:t>
      </w:r>
    </w:p>
    <w:p>
      <w:pPr>
        <w:pStyle w:val="BodyText"/>
      </w:pPr>
      <w:r>
        <w:t xml:space="preserve">However, this "Tech-Establishment Aesthetic" often clashes with the deep-rooted traditionalism of the city. In Jerusalem specifically, there is a tension between the secular, internationalized look of startup culture and the Orthodox Jewish visual codes prevalent in many neighborhoods. For a</w:t>
      </w:r>
      <w:r>
        <w:t xml:space="preserve"> </w:t>
      </w:r>
      <w:r>
        <w:rPr>
          <w:bCs/>
          <w:b/>
        </w:rPr>
        <w:t xml:space="preserve">Graphic Designer</w:t>
      </w:r>
      <w:r>
        <w:t xml:space="preserve">, navigating this dichotomy requires high contextual intelligence. A brand identity that works for an app developed in a Jerusalem tech park may need significant adaptation when marketed to ultra-Orthodox communities who reject secular imagery.</w:t>
      </w:r>
    </w:p>
    <w:p>
      <w:pPr>
        <w:pStyle w:val="BodyText"/>
      </w:pPr>
      <w:r>
        <w:t xml:space="preserve">This article highlights how successful</w:t>
      </w:r>
      <w:r>
        <w:t xml:space="preserve"> </w:t>
      </w:r>
      <w:r>
        <w:rPr>
          <w:bCs/>
          <w:b/>
        </w:rPr>
        <w:t xml:space="preserve">Graphic Designer</w:t>
      </w:r>
      <w:r>
        <w:t xml:space="preserve">s in</w:t>
      </w:r>
      <w:r>
        <w:t xml:space="preserve"> </w:t>
      </w:r>
      <w:r>
        <w:rPr>
          <w:bCs/>
          <w:b/>
        </w:rPr>
        <w:t xml:space="preserve">Israel Jerusalem</w:t>
      </w:r>
      <w:r>
        <w:t xml:space="preserve"> </w:t>
      </w:r>
      <w:r>
        <w:t xml:space="preserve">employ modular design systems. These systems allow core brand elements to remain consistent while allowing for localized adaptations that respect religious and cultural sensitivities. This adaptability is crucial for businesses operating across the fragmented social landscape of the city.</w:t>
      </w:r>
    </w:p>
    <w:bookmarkEnd w:id="22"/>
    <w:bookmarkStart w:id="23" w:name="X679c85a1fbe7d28abf85f1fabf03a487075cbe0"/>
    <w:p>
      <w:pPr>
        <w:pStyle w:val="Heading2"/>
      </w:pPr>
      <w:r>
        <w:t xml:space="preserve">4. Public Space, Signage, and Political Semiotics</w:t>
      </w:r>
    </w:p>
    <w:p>
      <w:pPr>
        <w:pStyle w:val="FirstParagraph"/>
      </w:pPr>
      <w:r>
        <w:t xml:space="preserve">The most visible arena for graphic design in</w:t>
      </w:r>
      <w:r>
        <w:t xml:space="preserve"> </w:t>
      </w:r>
      <w:r>
        <w:rPr>
          <w:bCs/>
          <w:b/>
        </w:rPr>
        <w:t xml:space="preserve">Israel Jerusalem</w:t>
      </w:r>
      <w:r>
        <w:t xml:space="preserve"> </w:t>
      </w:r>
      <w:r>
        <w:t xml:space="preserve">is public space. Street signage, wayfinding systems, and municipal branding are hotly debated topics. The decision to include Arabic script alongside Hebrew on public signs has been a subject of intense political controversy over the years. For the</w:t>
      </w:r>
      <w:r>
        <w:t xml:space="preserve"> </w:t>
      </w:r>
      <w:r>
        <w:rPr>
          <w:bCs/>
          <w:b/>
        </w:rPr>
        <w:t xml:space="preserve">Graphic Designer</w:t>
      </w:r>
      <w:r>
        <w:t xml:space="preserve">, these projects are not merely exercises in legibility but acts of civic engagement.</w:t>
      </w:r>
    </w:p>
    <w:p>
      <w:pPr>
        <w:pStyle w:val="BodyText"/>
      </w:pPr>
      <w:r>
        <w:t xml:space="preserve">Recent studies indicate that when</w:t>
      </w:r>
      <w:r>
        <w:t xml:space="preserve"> </w:t>
      </w:r>
      <w:r>
        <w:rPr>
          <w:bCs/>
          <w:b/>
        </w:rPr>
        <w:t xml:space="preserve">Graphic Designer</w:t>
      </w:r>
      <w:r>
        <w:t xml:space="preserve">s prioritize clarity and inclusivity in wayfinding systems, public trust in municipal services increases. Conversely, designs that appear to favor one demographic over another can exacerbate social tensions. In neighborhoods like Silwan or the Old City walls, where Arab and Jewish communities live in close proximity but distinct realities, the visual language of signage becomes a marker of belonging or exclusion.</w:t>
      </w:r>
    </w:p>
    <w:p>
      <w:pPr>
        <w:pStyle w:val="BodyText"/>
      </w:pPr>
      <w:r>
        <w:t xml:space="preserve">This section argues that ethical design practice in</w:t>
      </w:r>
      <w:r>
        <w:t xml:space="preserve"> </w:t>
      </w:r>
      <w:r>
        <w:rPr>
          <w:bCs/>
          <w:b/>
        </w:rPr>
        <w:t xml:space="preserve">Israel Jerusalem</w:t>
      </w:r>
      <w:r>
        <w:t xml:space="preserve"> </w:t>
      </w:r>
      <w:r>
        <w:t xml:space="preserve">requires a "diplomatic" approach. Designers must act as mediators, ensuring that visual information is accessible to all residents regardless of linguistic or cultural background. This involves rigorous user testing with diverse groups and a commitment to universal design principles that transcend local conflicts.</w:t>
      </w:r>
    </w:p>
    <w:bookmarkEnd w:id="23"/>
    <w:bookmarkStart w:id="24" w:name="Xa8bc9e11a34825ad089e7f64c364758e24d394c"/>
    <w:p>
      <w:pPr>
        <w:pStyle w:val="Heading2"/>
      </w:pPr>
      <w:r>
        <w:t xml:space="preserve">5. Conclusion: Toward an Ethical Framework for Visual Communication</w:t>
      </w:r>
    </w:p>
    <w:p>
      <w:pPr>
        <w:pStyle w:val="FirstParagraph"/>
      </w:pPr>
      <w:r>
        <w:t xml:space="preserve">The role of the</w:t>
      </w:r>
      <w:r>
        <w:t xml:space="preserve"> </w:t>
      </w:r>
      <w:r>
        <w:rPr>
          <w:bCs/>
          <w:b/>
        </w:rPr>
        <w:t xml:space="preserve">Graphic Designer</w:t>
      </w:r>
      <w:r>
        <w:t xml:space="preserve"> </w:t>
      </w:r>
      <w:r>
        <w:t xml:space="preserve">in</w:t>
      </w:r>
      <w:r>
        <w:t xml:space="preserve"> </w:t>
      </w:r>
      <w:r>
        <w:rPr>
          <w:bCs/>
          <w:b/>
        </w:rPr>
        <w:t xml:space="preserve">Israel Jerusalem</w:t>
      </w:r>
      <w:r>
        <w:t xml:space="preserve">, is both challenging and profoundly significant. It demands a skill set that extends beyond technical proficiency to include cultural competency, linguistic agility, and ethical reasoning. As this city continues to evolve, the visual environment will remain a primary site where its future is negotiated.</w:t>
      </w:r>
    </w:p>
    <w:p>
      <w:pPr>
        <w:pStyle w:val="BodyText"/>
      </w:pPr>
      <w:r>
        <w:t xml:space="preserve">We conclude that there is no neutral design in such a charged environment; every choice carries weight. However, by embracing hybridity and prioritizing inclusivity,</w:t>
      </w:r>
      <w:r>
        <w:t xml:space="preserve"> </w:t>
      </w:r>
      <w:r>
        <w:rPr>
          <w:bCs/>
          <w:b/>
        </w:rPr>
        <w:t xml:space="preserve">Graphic Designer</w:t>
      </w:r>
      <w:r>
        <w:t xml:space="preserve">s can contribute to a more cohesive urban identity. Future research should focus on longitudinal studies of how visual interventions impact social cohesion in mixed neighborhoods of</w:t>
      </w:r>
      <w:r>
        <w:t xml:space="preserve"> </w:t>
      </w:r>
      <w:r>
        <w:rPr>
          <w:bCs/>
          <w:b/>
        </w:rPr>
        <w:t xml:space="preserve">Israel Jerusalem</w:t>
      </w:r>
      <w:r>
        <w:t xml:space="preserve">. Ultimately, the graphic design profession in this region has the potential to model a form of visual diplomacy that transcends borders, proving that aesthetic harmony is possible even amidst profound complexity.</w:t>
      </w:r>
    </w:p>
    <w:bookmarkEnd w:id="24"/>
    <w:bookmarkStart w:id="25" w:name="references-selected"/>
    <w:p>
      <w:pPr>
        <w:pStyle w:val="Heading2"/>
      </w:pPr>
      <w:r>
        <w:t xml:space="preserve">References (Selected)</w:t>
      </w:r>
    </w:p>
    <w:p>
      <w:pPr>
        <w:pStyle w:val="FirstParagraph"/>
      </w:pPr>
      <w:r>
        <w:t xml:space="preserve">Ben-David, Y. (2019). *Typography and Identity in the Middle East*. Tel Aviv: Academic Press.</w:t>
      </w:r>
    </w:p>
    <w:p>
      <w:pPr>
        <w:pStyle w:val="BodyText"/>
      </w:pPr>
      <w:r>
        <w:t xml:space="preserve">Cohen, R., &amp; Levy, S. (2021). "Neutrality as a Political Stance: Bilingual Signage in Jerusalem." *Journal of Urban Communication*, 14(3), 45-67.</w:t>
      </w:r>
    </w:p>
    <w:p>
      <w:pPr>
        <w:pStyle w:val="BodyText"/>
      </w:pPr>
      <w:r>
        <w:t xml:space="preserve">Elias, M. (2020). *The Startup Nation’s Visual Language: Globalization and Localization*. Jerusalem: Institute for Design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Semiotic Intersection: Graphic Design Praxis in the Context of Contemporary Israel-Jerusalem</dc:title>
  <dc:creator/>
  <cp:keywords/>
  <dcterms:created xsi:type="dcterms:W3CDTF">2026-07-29T09:33:46Z</dcterms:created>
  <dcterms:modified xsi:type="dcterms:W3CDTF">2026-07-29T09:33:46Z</dcterms:modified>
</cp:coreProperties>
</file>

<file path=docProps/custom.xml><?xml version="1.0" encoding="utf-8"?>
<Properties xmlns="http://schemas.openxmlformats.org/officeDocument/2006/custom-properties" xmlns:vt="http://schemas.openxmlformats.org/officeDocument/2006/docPropsVTypes"/>
</file>