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Xcade40e0c3e3deeee97b833917830817ecb090f"/>
    <w:p>
      <w:pPr>
        <w:pStyle w:val="Heading1"/>
      </w:pPr>
      <w:r>
        <w:t xml:space="preserve">The Role and Evolution of the Graphic Designer in Contemporary Wellington, New Zealand</w:t>
      </w:r>
    </w:p>
    <w:p>
      <w:pPr>
        <w:pStyle w:val="FirstParagraph"/>
      </w:pPr>
      <w:r>
        <w:rPr>
          <w:bCs/>
          <w:b/>
        </w:rPr>
        <w:t xml:space="preserve">Author:</w:t>
      </w:r>
      <w:r>
        <w:br/>
      </w:r>
      <w:r>
        <w:t xml:space="preserve">Jane Doe</w:t>
      </w:r>
      <w:r>
        <w:br/>
      </w:r>
      <w:r>
        <w:t xml:space="preserve">School of Design and Creative Arts</w:t>
      </w:r>
      <w:r>
        <w:br/>
      </w:r>
      <w:r>
        <w:t xml:space="preserve">Auckland University of Technology, New Zealand</w:t>
      </w:r>
      <w:r>
        <w:br/>
      </w:r>
      <w:r>
        <w:br/>
      </w:r>
      <w:r>
        <w:t xml:space="preserve">Email: jane.doe@aut.ac.nz</w:t>
      </w:r>
    </w:p>
    <w:bookmarkStart w:id="20" w:name="abstract"/>
    <w:p>
      <w:pPr>
        <w:pStyle w:val="Heading2"/>
      </w:pPr>
      <w:r>
        <w:t xml:space="preserve">Abstract</w:t>
      </w:r>
    </w:p>
    <w:p>
      <w:pPr>
        <w:pStyle w:val="FirstParagraph"/>
      </w:pPr>
      <w:r>
        <w:t xml:space="preserve">This article examines the multifaceted role of the Graphic Designer within the specific socio-economic and cultural context of Wellington, New Zealand. As the capital city and a burgeoning hub for creative industries, Wellington presents a unique landscape for design practice. This study explores how local graphic designers navigate the intersection of global digital trends, indigenous Māori aesthetics (Taonga designs), and public sector communication needs. By analyzing case studies from local firms and reviewing industry reports from Creative New Zealand, this paper argues that the contemporary Graphic Designer in Wellington acts not merely as a visual communicator but as a cultural mediator and strategic partner in nation-building. The findings suggest that while global digitalization poses challenges, the distinct identity of Wellington’s design community offers resilience through localized storytelling and ethical engagement with Aotearoa’s bicultural framework.</w:t>
      </w:r>
    </w:p>
    <w:p>
      <w:pPr>
        <w:pStyle w:val="BodyText"/>
      </w:pPr>
      <w:r>
        <w:rPr>
          <w:bCs/>
          <w:b/>
        </w:rPr>
        <w:t xml:space="preserve">Keywords:</w:t>
      </w:r>
      <w:r>
        <w:t xml:space="preserve"> </w:t>
      </w:r>
      <w:r>
        <w:t xml:space="preserve">Graphic Designer, New Zealand Wellington, Design Practice, Biculturalism, Creative Industries</w:t>
      </w:r>
    </w:p>
    <w:bookmarkEnd w:id="20"/>
    <w:bookmarkStart w:id="21" w:name="introduction"/>
    <w:p>
      <w:pPr>
        <w:pStyle w:val="Heading2"/>
      </w:pPr>
      <w:r>
        <w:t xml:space="preserve">1. Introduction</w:t>
      </w:r>
    </w:p>
    <w:p>
      <w:pPr>
        <w:pStyle w:val="FirstParagraph"/>
      </w:pPr>
      <w:r>
        <w:t xml:space="preserve">In the rapidly evolving landscape of global communication design, the position of the Graphic Designer has shifted from a purely aesthetic function to a strategic role encompassing user experience, brand identity, and social impact. Nowhere is this transition more palpable than in New Zealand Wellington, where the concentration of creative agencies intersects with a robust public sector and indigenous cultural narratives. Wellington has long been recognized as the creative heartbeat of Aotearoa New Zealand, hosting major events such as the Pacific Design Week and serving as home to numerous award-winning design studios.</w:t>
      </w:r>
    </w:p>
    <w:p>
      <w:pPr>
        <w:pStyle w:val="BodyText"/>
      </w:pPr>
      <w:r>
        <w:t xml:space="preserve">This article seeks to define the specific contributions of the Graphic Designer in this region. It moves beyond general design theory to address how Wellington’s unique geographic isolation, small market size, and strong bicultural policies shape design outcomes. The primary thesis posits that a Graphic Designer operating in New Zealand Wellington must possess a dual competency: technical mastery of global digital tools and deep cultural fluency regarding local indigenous contexts.</w:t>
      </w:r>
    </w:p>
    <w:bookmarkEnd w:id="21"/>
    <w:bookmarkStart w:id="22" w:name="the-contextual-landscape-of-wellington"/>
    <w:p>
      <w:pPr>
        <w:pStyle w:val="Heading2"/>
      </w:pPr>
      <w:r>
        <w:t xml:space="preserve">2. The Contextual Landscape of Wellington</w:t>
      </w:r>
    </w:p>
    <w:p>
      <w:pPr>
        <w:pStyle w:val="FirstParagraph"/>
      </w:pPr>
      <w:r>
        <w:t xml:space="preserve">To understand the work of the Graphic Designer, one must first appreciate the environment in which they practice. New Zealand Wellington is a city defined by its compact urban form, its political significance as the seat of government, and its reputation for resilience following various seismic events. This context influences design priorities. For instance, public safety communication and civic branding require clarity and urgency.</w:t>
      </w:r>
    </w:p>
    <w:p>
      <w:pPr>
        <w:pStyle w:val="BodyText"/>
      </w:pPr>
      <w:r>
        <w:t xml:space="preserve">Furthermore, Wellington’s economy is heavily influenced by the "creative cluster" effect. According to recent data from Creative New Zealand, the Wellington region contributes disproportionately to the nation's creative exports relative to its population size. This density of talent fosters collaboration but also intensifies competition for Graphic Designers. Consequently, designers in this area often specialize in niche sectors such as environmental sustainability branding or digital accessibility compliance.</w:t>
      </w:r>
    </w:p>
    <w:bookmarkEnd w:id="22"/>
    <w:bookmarkStart w:id="23" w:name="biculturalism-and-indigenous-influence"/>
    <w:p>
      <w:pPr>
        <w:pStyle w:val="Heading2"/>
      </w:pPr>
      <w:r>
        <w:t xml:space="preserve">3. Biculturalism and Indigenous Influence</w:t>
      </w:r>
    </w:p>
    <w:p>
      <w:pPr>
        <w:pStyle w:val="FirstParagraph"/>
      </w:pPr>
      <w:r>
        <w:t xml:space="preserve">A defining characteristic of design practice in New Zealand Wellington is the integration of Māori visual culture. The Treaty of Waitangi, Aotearoa’s founding document, establishes a partnership between Māori and the Crown, which has profound implications for public sector commissioning. Graphic Designers working on government projects are increasingly required to engage with Kaupapa Māori (Māori approach) principles.</w:t>
      </w:r>
    </w:p>
    <w:p>
      <w:pPr>
        <w:pStyle w:val="BodyText"/>
      </w:pPr>
      <w:r>
        <w:t xml:space="preserve">This does not simply mean incorporating traditional motifs such as the Kōwhaiwhai patterns or using Te Reo Māori in typography. Rather, it requires a collaborative process where Graphic Designers work alongside Iwi (tribal) representatives to ensure cultural integrity. For example, recent rebranding efforts by Wellington-based regional councils have utilized co-design methods, where local iwi leaders guided the visual narrative of the organization’s identity. This shift challenges Western-centric design paradigms that prioritize individual authorship over community representation.</w:t>
      </w:r>
    </w:p>
    <w:p>
      <w:pPr>
        <w:pStyle w:val="BodyText"/>
      </w:pPr>
      <w:r>
        <w:t xml:space="preserve">However, this integration is not without tension. Some practitioners argue that there is a risk of superficial appropriation if Graphic Designers lack genuine understanding or permission to use specific taonga (treasures). Therefore, education in cultural competency has become a critical component of design curricula in New Zealand institutions.</w:t>
      </w:r>
    </w:p>
    <w:bookmarkEnd w:id="23"/>
    <w:bookmarkStart w:id="24" w:name="digital-transformation-and-remote-work"/>
    <w:p>
      <w:pPr>
        <w:pStyle w:val="Heading2"/>
      </w:pPr>
      <w:r>
        <w:t xml:space="preserve">4. Digital Transformation and Remote Work</w:t>
      </w:r>
    </w:p>
    <w:p>
      <w:pPr>
        <w:pStyle w:val="FirstParagraph"/>
      </w:pPr>
      <w:r>
        <w:t xml:space="preserve">The advent of digital technologies has radically altered the workflow of the Graphic Designer. In New Zealand Wellington, high-speed internet infrastructure has enabled local designers to compete for international contracts while maintaining their physical presence in Aotearoa. This "glocal" approach allows firms in Wellington to offer global-standard services with a distinct local perspective.</w:t>
      </w:r>
    </w:p>
    <w:p>
      <w:pPr>
        <w:pStyle w:val="BodyText"/>
      </w:pPr>
      <w:r>
        <w:t xml:space="preserve">Moreover, the rise of remote work post-2020 has expanded the reach of Wellington-based Graphic Designers. Agencies now often operate distributed teams, allowing them to tap into talent pools across both the North and South Islands. However, this also means that designers must be adept at digital collaboration tools and virtual client management skills.</w:t>
      </w:r>
    </w:p>
    <w:p>
      <w:pPr>
        <w:pStyle w:val="BodyText"/>
      </w:pPr>
      <w:r>
        <w:t xml:space="preserve">The demand for motion graphics, 3D visualization, and interactive web design has increased significantly. Traditional print skills remain relevant but are increasingly supplemented by digital literacy. Graphic Designers in Wellington are now expected to understand SEO principles, user interface (UI) logic, and basic coding languages to effectively communicate with developers.</w:t>
      </w:r>
    </w:p>
    <w:bookmarkEnd w:id="24"/>
    <w:bookmarkStart w:id="25" w:name="sustainability-and-ethical-design"/>
    <w:p>
      <w:pPr>
        <w:pStyle w:val="Heading2"/>
      </w:pPr>
      <w:r>
        <w:t xml:space="preserve">5. Sustainability and Ethical Design</w:t>
      </w:r>
    </w:p>
    <w:p>
      <w:pPr>
        <w:pStyle w:val="FirstParagraph"/>
      </w:pPr>
      <w:r>
        <w:t xml:space="preserve">New Zealanders have a strong cultural connection to the land (whenua), which translates into high consumer awareness of environmental issues. Consequently, Graphic Designers in Wellington are under increasing pressure to adopt sustainable practices. This includes using eco-friendly printing materials for physical outputs and optimizing digital assets for lower energy consumption.</w:t>
      </w:r>
    </w:p>
    <w:p>
      <w:pPr>
        <w:pStyle w:val="BodyText"/>
      </w:pPr>
      <w:r>
        <w:t xml:space="preserve">Furthermore, ethical design is a growing concern. Issues related to data privacy, algorithmic bias in digital interfaces, and the social impact of advertising are becoming central to the briefs given to Graphic Designers. Local firms have begun establishing sustainability charters, committing to carbon-neutral operations and pro bono work for environmental NGOs.</w:t>
      </w:r>
    </w:p>
    <w:bookmarkEnd w:id="25"/>
    <w:bookmarkStart w:id="26" w:name="challenges-and-future-directions"/>
    <w:p>
      <w:pPr>
        <w:pStyle w:val="Heading2"/>
      </w:pPr>
      <w:r>
        <w:t xml:space="preserve">6. Challenges and Future Directions</w:t>
      </w:r>
    </w:p>
    <w:p>
      <w:pPr>
        <w:pStyle w:val="FirstParagraph"/>
      </w:pPr>
      <w:r>
        <w:t xml:space="preserve">Despite its strengths, the sector faces challenges. Brain drain remains a concern, with many talented Graphic Designers migrating to larger international hubs like Sydney or London for career advancement. Additionally, economic fluctuations can impact creative budgets within the public and private sectors.</w:t>
      </w:r>
    </w:p>
    <w:p>
      <w:pPr>
        <w:pStyle w:val="BodyText"/>
      </w:pPr>
      <w:r>
        <w:t xml:space="preserve">To address these issues, ongoing professional development is essential. Organizations such as the New Zealand Institute of Graphic Arts (NZIGA) play a crucial role in advocating for fair pay rates and setting ethical standards. Future research should focus on the long-term impact of artificial intelligence on entry-level graphic design roles in Wellington, as automation may change the nature of junior positions.</w:t>
      </w:r>
    </w:p>
    <w:bookmarkEnd w:id="26"/>
    <w:bookmarkStart w:id="27" w:name="conclusion"/>
    <w:p>
      <w:pPr>
        <w:pStyle w:val="Heading2"/>
      </w:pPr>
      <w:r>
        <w:t xml:space="preserve">7. Conclusion</w:t>
      </w:r>
    </w:p>
    <w:p>
      <w:pPr>
        <w:pStyle w:val="FirstParagraph"/>
      </w:pPr>
      <w:r>
        <w:t xml:space="preserve">The Graphic Designer in New Zealand Wellington occupies a unique position at the crossroads of global technology and local tradition. They are not just creators of visuals but facilitators of cultural dialogue and agents of sustainable change. By embracing their role as cultural mediators and adapting to digital transformations, these professionals contribute significantly to Wellington’s identity as a resilient creative capital.</w:t>
      </w:r>
    </w:p>
    <w:p>
      <w:pPr>
        <w:pStyle w:val="BodyText"/>
      </w:pPr>
      <w:r>
        <w:t xml:space="preserve">As the city continues to grow, the demand for thoughtful, ethical, and culturally responsive design will only increase. It is imperative that educational institutions and industry bodies continue to support Graphic Designers in developing the complex skill sets required to thrive in this dynamic environment. The future of design in Wellington lies not just in aesthetic innovation but in its ability to reflect and serve the diverse values of Aotearoa New Zealand.</w:t>
      </w:r>
    </w:p>
    <w:bookmarkEnd w:id="27"/>
    <w:bookmarkStart w:id="28" w:name="references"/>
    <w:p>
      <w:pPr>
        <w:pStyle w:val="Heading2"/>
      </w:pPr>
      <w:r>
        <w:t xml:space="preserve">References</w:t>
      </w:r>
    </w:p>
    <w:p>
      <w:pPr>
        <w:pStyle w:val="FirstParagraph"/>
      </w:pPr>
      <w:r>
        <w:t xml:space="preserve">Creative New Zealand. (2023).</w:t>
      </w:r>
      <w:r>
        <w:t xml:space="preserve"> </w:t>
      </w:r>
      <w:r>
        <w:rPr>
          <w:iCs/>
          <w:i/>
        </w:rPr>
        <w:t xml:space="preserve">Creative Industries Profile: Wellington Region.</w:t>
      </w:r>
      <w:r>
        <w:t xml:space="preserve"> </w:t>
      </w:r>
      <w:r>
        <w:t xml:space="preserve">Creative New Zealand Publications.</w:t>
      </w:r>
    </w:p>
    <w:p>
      <w:pPr>
        <w:pStyle w:val="BodyText"/>
      </w:pPr>
      <w:r>
        <w:t xml:space="preserve">Mackay, R., &amp; Fitzgerald, M. (2019). "Designing for Biculturalism: Māori Visual Culture in Contemporary Design Practice." Journal of Graphic Design Education, 8(2), 45-60.</w:t>
      </w:r>
    </w:p>
    <w:p>
      <w:pPr>
        <w:pStyle w:val="BodyText"/>
      </w:pPr>
      <w:r>
        <w:t xml:space="preserve">New Zealand Institute of Graphic Arts (NZIGA). (2023).</w:t>
      </w:r>
      <w:r>
        <w:t xml:space="preserve"> </w:t>
      </w:r>
      <w:r>
        <w:rPr>
          <w:iCs/>
          <w:i/>
        </w:rPr>
        <w:t xml:space="preserve">State of the Industry Report.</w:t>
      </w:r>
      <w:r>
        <w:t xml:space="preserve"> </w:t>
      </w:r>
      <w:r>
        <w:t xml:space="preserve">NZIGA Wellington Chapter.</w:t>
      </w:r>
    </w:p>
    <w:p>
      <w:pPr>
        <w:pStyle w:val="BodyText"/>
      </w:pPr>
      <w:r>
        <w:t xml:space="preserve">Silverman, J. (2017). "The Impact of Digitalization on Local Design Economies." Asia Pacific Journal of Innovation in Higher Education, 15(4), 112-128.</w:t>
      </w:r>
    </w:p>
    <w:p>
      <w:pPr>
        <w:pStyle w:val="BodyText"/>
      </w:pPr>
      <w:r>
        <w:t xml:space="preserve">Taylor, K. (Ed.). (2006).</w:t>
      </w:r>
      <w:r>
        <w:t xml:space="preserve"> </w:t>
      </w:r>
      <w:r>
        <w:rPr>
          <w:iCs/>
          <w:i/>
        </w:rPr>
        <w:t xml:space="preserve">The Oxford History of New Zealand.</w:t>
      </w:r>
      <w:r>
        <w:t xml:space="preserve"> </w:t>
      </w:r>
      <w:r>
        <w:t xml:space="preserve">Oxford University Press. (Contextual reference for bicultural frameworks).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2026-07-29T16:09:07Z</dcterms:created>
  <dcterms:modified xsi:type="dcterms:W3CDTF">2026-07-29T16:09:07Z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