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Melbourne</w:t>
      </w:r>
    </w:p>
    <w:bookmarkStart w:id="28" w:name="Xbf666b1915632587094ed236507ddbc3182ec85"/>
    <w:p>
      <w:pPr>
        <w:pStyle w:val="Heading1"/>
      </w:pPr>
      <w:r>
        <w:t xml:space="preserve">The Evolving Role of the Human Resources Manager in Australia:</w:t>
      </w:r>
      <w:r>
        <w:br/>
      </w:r>
      <w:r>
        <w:t xml:space="preserve">A Strategic Analysis within the Melbourne Context</w:t>
      </w:r>
    </w:p>
    <w:p>
      <w:pPr>
        <w:pStyle w:val="FirstParagraph"/>
      </w:pPr>
      <w:r>
        <w:rPr>
          <w:bCs/>
          <w:b/>
        </w:rPr>
        <w:t xml:space="preserve">Author:</w:t>
      </w:r>
      <w:r>
        <w:br/>
      </w:r>
      <w:r>
        <w:t xml:space="preserve">Sarah J. Mitchell</w:t>
      </w:r>
      <w:r>
        <w:br/>
      </w:r>
      <w:r>
        <w:t xml:space="preserve">Melbourne Business School, University of Melbourne</w:t>
      </w:r>
    </w:p>
    <w:p>
      <w:pPr>
        <w:pStyle w:val="BodyText"/>
      </w:pPr>
      <w:r>
        <w:rPr>
          <w:iCs/>
          <w:i/>
        </w:rPr>
        <w:t xml:space="preserve">This document is an academic journal article examining the strategic transformation of Human Resources Management (HRM) in Australia, with a specific focus on the metropolitan dynamics of Melbourne.</w:t>
      </w:r>
    </w:p>
    <w:bookmarkStart w:id="20" w:name="abstract"/>
    <w:p>
      <w:pPr>
        <w:pStyle w:val="Heading2"/>
      </w:pPr>
      <w:r>
        <w:t xml:space="preserve">Abstract</w:t>
      </w:r>
    </w:p>
    <w:p>
      <w:pPr>
        <w:pStyle w:val="FirstParagraph"/>
      </w:pPr>
      <w:r>
        <w:t xml:space="preserve">The role of the</w:t>
      </w:r>
      <w:r>
        <w:t xml:space="preserve"> </w:t>
      </w:r>
      <w:r>
        <w:rPr>
          <w:bCs/>
          <w:b/>
        </w:rPr>
        <w:t xml:space="preserve">Human Resources Manager</w:t>
      </w:r>
      <w:r>
        <w:rPr>
          <w:vertAlign w:val="superscript"/>
        </w:rPr>
        <w:t xml:space="preserve">1</w:t>
      </w:r>
      <w:r>
        <w:rPr>
          <w:vertAlign w:val="subscript"/>
        </w:rPr>
        <w:t xml:space="preserve">(HRM)</w:t>
      </w:r>
    </w:p>
    <w:p>
      <w:pPr>
        <w:pStyle w:val="BodyText"/>
      </w:pPr>
      <w:r>
        <w:t xml:space="preserve">&lt; sup &gt; has undergone a radical paradigm shift in recent decades, moving from administrative personnel management to strategic business partnership. This paper analyzes this evolution within the unique socio-economic and industrial landscape of Australia. Specifically, it focuses on Melbourne, Victoria’s capital city, which serves as a critical hub for innovation, cultural diversity, and economic resilience. By examining legislative frameworks such as the</w:t>
      </w:r>
      <w:r>
        <w:t xml:space="preserve"> </w:t>
      </w:r>
      <w:r>
        <w:rPr>
          <w:iCs/>
          <w:i/>
        </w:rPr>
        <w:t xml:space="preserve">Fair Work Act 2009</w:t>
      </w:r>
      <w:r>
        <w:t xml:space="preserve">, multicultural workforce dynamics in</w:t>
      </w:r>
      <w:r>
        <w:t xml:space="preserve"> </w:t>
      </w:r>
      <w:r>
        <w:rPr>
          <w:bCs/>
          <w:b/>
        </w:rPr>
        <w:t xml:space="preserve">Australia Melbourne</w:t>
      </w:r>
    </w:p>
    <w:p>
      <w:pPr>
        <w:pStyle w:val="BodyText"/>
      </w:pPr>
      <w:r>
        <w:t xml:space="preserve">2&lt; sup &gt;,&lt; /sub &gt;&lt; sup &gt;, and the post-pandemic shift toward hybrid work models, this article argues that HR leaders in Melbourne must possess a distinct blend of legal acumen, cultural competence, and strategic agility to sustain organizational performance.</w:t>
      </w:r>
    </w:p>
    <w:bookmarkEnd w:id="20"/>
    <w:bookmarkStart w:id="21" w:name="introduction"/>
    <w:p>
      <w:pPr>
        <w:pStyle w:val="Heading2"/>
      </w:pPr>
      <w:r>
        <w:t xml:space="preserve">1. Introduction</w:t>
      </w:r>
    </w:p>
    <w:p>
      <w:pPr>
        <w:pStyle w:val="FirstParagraph"/>
      </w:pPr>
      <w:r>
        <w:t xml:space="preserve">In the contemporary global economy, Human Resources Management is no longer viewed merely as a support function but as a core driver of competitive advantage. In</w:t>
      </w:r>
      <w:r>
        <w:t xml:space="preserve"> </w:t>
      </w:r>
      <w:r>
        <w:rPr>
          <w:bCs/>
          <w:b/>
        </w:rPr>
        <w:t xml:space="preserve">Australia Melbourne</w:t>
      </w:r>
    </w:p>
    <w:p>
      <w:pPr>
        <w:pStyle w:val="BodyText"/>
      </w:pPr>
      <w:r>
        <w:t xml:space="preserve">&lt; sup &gt;,&lt; /sub &gt;&lt; sup &gt;,, a city renowned for its liveability index and robust service sector, the demands placed on HR professionals are multifaceted. The</w:t>
      </w:r>
      <w:r>
        <w:t xml:space="preserve"> </w:t>
      </w:r>
      <w:r>
        <w:rPr>
          <w:bCs/>
          <w:b/>
        </w:rPr>
        <w:t xml:space="preserve">Human Resources Manager</w:t>
      </w:r>
    </w:p>
    <w:p>
      <w:pPr>
        <w:pStyle w:val="BodyText"/>
      </w:pPr>
      <w:r>
        <w:t xml:space="preserve">&lt; sup &gt;(HRM)&lt; /sup&gt; today operates at the intersection of legal compliance, employee well-being, and strategic organizational development. This article explores how Melbourne’s specific market conditions—characterized by a highly educated workforce, significant migration patterns, and a strong union presence—shape the responsibilities and competencies required for HR roles in the region.</w:t>
      </w:r>
    </w:p>
    <w:bookmarkEnd w:id="21"/>
    <w:bookmarkStart w:id="22" w:name="the-regulatory-landscape-in-australia"/>
    <w:p>
      <w:pPr>
        <w:pStyle w:val="Heading2"/>
      </w:pPr>
      <w:r>
        <w:t xml:space="preserve">2. The Regulatory Landscape in Australia</w:t>
      </w:r>
    </w:p>
    <w:p>
      <w:pPr>
        <w:pStyle w:val="FirstParagraph"/>
      </w:pPr>
      <w:r>
        <w:t xml:space="preserve">The foundation of any discussion regarding HRM in</w:t>
      </w:r>
      <w:r>
        <w:t xml:space="preserve"> </w:t>
      </w:r>
      <w:r>
        <w:rPr>
          <w:bCs/>
          <w:b/>
        </w:rPr>
        <w:t xml:space="preserve">Australia Melbourne</w:t>
      </w:r>
    </w:p>
    <w:p>
      <w:pPr>
        <w:pStyle w:val="BodyText"/>
      </w:pPr>
      <w:r>
        <w:t xml:space="preserve">&lt; sup &gt;,&lt; /sub &gt;&lt; sup &gt;, must begin with the industrial relations framework. Unlike many other jurisdictions, Australia has a centralized wage-setting system and a complex web of awards and agreements managed by Fair Work Australia (now the Fair Work Commission). For the</w:t>
      </w:r>
      <w:r>
        <w:t xml:space="preserve"> </w:t>
      </w:r>
      <w:r>
        <w:rPr>
          <w:bCs/>
          <w:b/>
        </w:rPr>
        <w:t xml:space="preserve">Human Resources Manager</w:t>
      </w:r>
    </w:p>
    <w:p>
      <w:pPr>
        <w:pStyle w:val="BodyText"/>
      </w:pPr>
      <w:r>
        <w:t xml:space="preserve">&lt; sup &gt;,&lt; /sub &gt;&lt; su p&gt;&lt; /sup&gt;, navigating these regulations is not optional; it is a fundamental competency. The transition from enterprise bargaining to individual flexibility arrangements has shifted power dynamics, requiring HR leaders to draft contracts that are both legally compliant and commercially viable.</w:t>
      </w:r>
    </w:p>
    <w:p>
      <w:pPr>
        <w:pStyle w:val="BodyText"/>
      </w:pPr>
      <w:r>
        <w:t xml:space="preserve">In Melbourne, where the cost of living and housing affordability have become pressing social issues, HR Managers are increasingly tasked with designing remuneration packages that reflect real-world economic pressures while maintaining internal equity. This requires a deep understanding of minimum wage orders, penalty rates for casual employees, and superannuation obligations. Failure to adhere to these statutory requirements can result in significant reputational damage and financial penalties, making the HR Manager the primary guardian of organizational integrity.</w:t>
      </w:r>
    </w:p>
    <w:bookmarkEnd w:id="22"/>
    <w:bookmarkStart w:id="23" w:name="Xe5424c55aa8afac8f6ca071e02fa89e66cb64dc"/>
    <w:p>
      <w:pPr>
        <w:pStyle w:val="Heading2"/>
      </w:pPr>
      <w:r>
        <w:t xml:space="preserve">3. Diversity and Inclusion in Melbourne’s Workforce</w:t>
      </w:r>
    </w:p>
    <w:p>
      <w:pPr>
        <w:pStyle w:val="FirstParagraph"/>
      </w:pPr>
      <w:r>
        <w:t xml:space="preserve">Melbourne is consistently ranked as one of the most multicultural cities globally. According to recent census data, a substantial proportion of Melbourne’s residents were born overseas, creating a workplace environment characterized by linguistic and cultural diversity. For the</w:t>
      </w:r>
      <w:r>
        <w:t xml:space="preserve"> </w:t>
      </w:r>
      <w:r>
        <w:rPr>
          <w:bCs/>
          <w:b/>
        </w:rPr>
        <w:t xml:space="preserve">Human Resources Manager</w:t>
      </w:r>
    </w:p>
    <w:p>
      <w:pPr>
        <w:pStyle w:val="BodyText"/>
      </w:pPr>
      <w:r>
        <w:t xml:space="preserve">&lt; sup &gt;,&lt; /sub &gt;&lt; su p&gt;&lt; /sup&gt;, this diversity is both an asset and a challenge. The role now extends beyond traditional recruitment to include active Diversity, Equity, and Inclusion (DEI) strategy implementation.</w:t>
      </w:r>
    </w:p>
    <w:p>
      <w:pPr>
        <w:pStyle w:val="BodyText"/>
      </w:pPr>
      <w:r>
        <w:t xml:space="preserve">In the context of</w:t>
      </w:r>
      <w:r>
        <w:t xml:space="preserve"> </w:t>
      </w:r>
      <w:r>
        <w:rPr>
          <w:bCs/>
          <w:b/>
        </w:rPr>
        <w:t xml:space="preserve">Australia Melbourne</w:t>
      </w:r>
    </w:p>
    <w:p>
      <w:pPr>
        <w:pStyle w:val="BodyText"/>
      </w:pPr>
      <w:r>
        <w:t xml:space="preserve">&lt; sup &gt;,&lt; /sub &gt;&lt; su p&gt;&lt; /sup&gt;, effective HR management requires cultural intelligence. HR professionals must design onboarding processes that accommodate diverse communication styles and religious practices. Furthermore, they must address unconscious bias in recruitment and promotion pathways to ensure that meritocracy is maintained across all demographic groups. Recent studies indicate that organizations in Melbourne with robust DEI frameworks demonstrate higher employee retention rates and innovation outputs, underscoring the strategic value of inclusive HR practices.</w:t>
      </w:r>
    </w:p>
    <w:bookmarkEnd w:id="23"/>
    <w:bookmarkStart w:id="24" w:name="X7cf54eea3dc8023e7c7d24e95928f85b9851d6e"/>
    <w:p>
      <w:pPr>
        <w:pStyle w:val="Heading2"/>
      </w:pPr>
      <w:r>
        <w:t xml:space="preserve">4. The Impact of Technology and Hybrid Work Models</w:t>
      </w:r>
    </w:p>
    <w:p>
      <w:pPr>
        <w:pStyle w:val="FirstParagraph"/>
      </w:pPr>
      <w:r>
        <w:t xml:space="preserve">The post-pandemic era has fundamentally altered work structures, a trend particularly evident in Melbourne’s CBD and surrounding tech hubs. The</w:t>
      </w:r>
      <w:r>
        <w:t xml:space="preserve"> </w:t>
      </w:r>
      <w:r>
        <w:rPr>
          <w:bCs/>
          <w:b/>
        </w:rPr>
        <w:t xml:space="preserve">Human Resources Manager</w:t>
      </w:r>
    </w:p>
    <w:p>
      <w:pPr>
        <w:pStyle w:val="BodyText"/>
      </w:pPr>
      <w:r>
        <w:t xml:space="preserve">&lt; sup &gt;,&lt; /sub &gt;&lt; su p&gt;&lt; /sup&gt; is now responsible for managing hybrid work policies that balance operational efficiency with employee flexibility. This shift has necessitated the adoption of new HR technologies, such as cloud-based Human Resource Information Systems (HRIS), performance management software, and digital engagement platforms.</w:t>
      </w:r>
    </w:p>
    <w:p>
      <w:pPr>
        <w:pStyle w:val="BodyText"/>
      </w:pPr>
      <w:r>
        <w:t xml:space="preserve">In</w:t>
      </w:r>
      <w:r>
        <w:t xml:space="preserve"> </w:t>
      </w:r>
      <w:r>
        <w:rPr>
          <w:bCs/>
          <w:b/>
        </w:rPr>
        <w:t xml:space="preserve">Australia Melbourne</w:t>
      </w:r>
    </w:p>
    <w:p>
      <w:pPr>
        <w:pStyle w:val="BodyText"/>
      </w:pPr>
      <w:r>
        <w:t xml:space="preserve">&lt; sup &gt;,&lt; /sub &gt;&lt; su p&gt;&lt; /sup&gt;, where public transport reliability and urban density are critical factors in employee commuting decisions, the flexibility offered by remote work has become a key differentiator in talent acquisition. HR Managers must therefore possess digital literacy to evaluate and implement technologies that facilitate collaboration across time zones and physical locations. Additionally, they must address the mental health implications of isolation associated with remote work, integrating wellness programs into their broader HR strategy.</w:t>
      </w:r>
    </w:p>
    <w:bookmarkEnd w:id="24"/>
    <w:bookmarkStart w:id="25" w:name="X958810fdf5f6c9d96c88a4bf4047a9d23f7e216"/>
    <w:p>
      <w:pPr>
        <w:pStyle w:val="Heading2"/>
      </w:pPr>
      <w:r>
        <w:t xml:space="preserve">5. Strategic Partnerships and Change Management</w:t>
      </w:r>
    </w:p>
    <w:p>
      <w:pPr>
        <w:pStyle w:val="FirstParagraph"/>
      </w:pPr>
      <w:r>
        <w:t xml:space="preserve">The modern</w:t>
      </w:r>
      <w:r>
        <w:t xml:space="preserve"> </w:t>
      </w:r>
      <w:r>
        <w:rPr>
          <w:bCs/>
          <w:b/>
        </w:rPr>
        <w:t xml:space="preserve">Human Resources Manager</w:t>
      </w:r>
    </w:p>
    <w:p>
      <w:pPr>
        <w:pStyle w:val="BodyText"/>
      </w:pPr>
      <w:r>
        <w:t xml:space="preserve">&lt; sup &gt;,&lt; /sub &gt;&lt; su p&gt;&lt; /sup&gt; in Melbourne is expected to be a strategic partner to the C-suite. This involves participating in long-term business planning, workforce forecasting, and change management initiatives. As Melbourne transitions toward a knowledge-based economy, HR leaders must identify skills gaps and develop upskilling pathways for existing employees.</w:t>
      </w:r>
    </w:p>
    <w:p>
      <w:pPr>
        <w:pStyle w:val="BodyText"/>
      </w:pPr>
      <w:r>
        <w:t xml:space="preserve">This strategic role requires strong analytical skills. HR Managers must leverage people analytics to predict turnover risks, assess the effectiveness of training programs, and align human capital strategies with business goals. In a competitive labor market like</w:t>
      </w:r>
      <w:r>
        <w:t xml:space="preserve"> </w:t>
      </w:r>
      <w:r>
        <w:rPr>
          <w:bCs/>
          <w:b/>
        </w:rPr>
        <w:t xml:space="preserve">Australia Melbourne</w:t>
      </w:r>
    </w:p>
    <w:p>
      <w:pPr>
        <w:pStyle w:val="BodyText"/>
      </w:pPr>
      <w:r>
        <w:t xml:space="preserve">&lt; sup &gt;,&lt; /sub &gt;&lt; su p&gt;&lt; /sup&gt;, where talent poaching is prevalent, proactive workforce planning is essential for maintaining organizational stability.</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Human Resources Manager</w:t>
      </w:r>
    </w:p>
    <w:p>
      <w:pPr>
        <w:pStyle w:val="BodyText"/>
      </w:pPr>
      <w:r>
        <w:t xml:space="preserve">&lt; sup &gt;,&lt; /sub &gt;&lt; su p&gt;&lt; /sup&gt; in Australia, and specifically within the dynamic context of Melbourne, is more complex and critical than ever before. It demands a holistic approach that integrates rigorous legal compliance with empathetic people management and forward-looking strategic planning. As the city continues to evolve amidst global economic shifts and technological advancements, HR leaders must remain agile, culturally sensitive, and technologically adept. Future research should focus on the long-term impacts of automation on HR roles in Melbourne’s service sector, as well as strategies for sustaining employee engagement in increasingly fragmented work environments.</w:t>
      </w:r>
    </w:p>
    <w:bookmarkEnd w:id="26"/>
    <w:bookmarkStart w:id="27" w:name="references"/>
    <w:p>
      <w:pPr>
        <w:pStyle w:val="Heading2"/>
      </w:pPr>
      <w:r>
        <w:t xml:space="preserve">References</w:t>
      </w:r>
    </w:p>
    <w:p>
      <w:pPr>
        <w:pStyle w:val="FirstParagraph"/>
      </w:pPr>
      <w:r>
        <w:t xml:space="preserve">1. Australian Government Department of Employment and Workplace Relations. (2023). *Guide to the National Employment Standards*. Canberra: AGPS.</w:t>
      </w:r>
      <w:r>
        <w:br/>
      </w:r>
      <w:r>
        <w:t xml:space="preserve">2. Melbourne Institute of Applied Economic and Social Research. (2024). *Living Standards in Victoria: A Multicultural Perspective*. University of Melbourne.</w:t>
      </w:r>
      <w:r>
        <w:br/>
      </w:r>
      <w:r>
        <w:t xml:space="preserve">3. Richardson, J., &amp; Smith, P. (2023). "Hybrid Work Models and Employee Well-being in Australian Cities." *Journal of Industrial Relations*, 65(2), 112-130.</w:t>
      </w:r>
      <w:r>
        <w:br/>
      </w:r>
      <w:r>
        <w:t xml:space="preserve">4. Fair Work Commission. (2024). *Annual Review of Modern Awards*. Melbourne: FWC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Australia: A Case Study from Melbourne</dc:title>
  <dc:creator/>
  <dc:language>en</dc:language>
  <cp:keywords/>
  <dcterms:created xsi:type="dcterms:W3CDTF">2026-07-29T19:50:29Z</dcterms:created>
  <dcterms:modified xsi:type="dcterms:W3CDTF">2026-07-29T19:50:29Z</dcterms:modified>
</cp:coreProperties>
</file>

<file path=docProps/custom.xml><?xml version="1.0" encoding="utf-8"?>
<Properties xmlns="http://schemas.openxmlformats.org/officeDocument/2006/custom-properties" xmlns:vt="http://schemas.openxmlformats.org/officeDocument/2006/docPropsVTypes"/>
</file>