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Functioning</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Comparative</w:t>
      </w:r>
      <w:r>
        <w:t xml:space="preserve"> </w:t>
      </w:r>
      <w:r>
        <w:t xml:space="preserve">and</w:t>
      </w:r>
      <w:r>
        <w:t xml:space="preserve"> </w:t>
      </w:r>
      <w:r>
        <w:t xml:space="preserve">Procedural</w:t>
      </w:r>
      <w:r>
        <w:t xml:space="preserve"> </w:t>
      </w:r>
      <w:r>
        <w:t xml:space="preserve">Analysis</w:t>
      </w:r>
    </w:p>
    <w:bookmarkStart w:id="29" w:name="X33b36cdd44cc1d51abb9e457f8aa34f078a04ff"/>
    <w:p>
      <w:pPr>
        <w:pStyle w:val="Heading1"/>
      </w:pPr>
      <w:r>
        <w:t xml:space="preserve">The Role and Functioning of the Judge in Belgium Brussels: A Comparative and Procedural Analysis</w:t>
      </w:r>
    </w:p>
    <w:p>
      <w:pPr>
        <w:pStyle w:val="FirstParagraph"/>
      </w:pPr>
      <w:r>
        <w:rPr>
          <w:bCs/>
          <w:b/>
        </w:rPr>
        <w:t xml:space="preserve">A Journal Article on Judicial Administration in the Capital Region</w:t>
      </w:r>
    </w:p>
    <w:p>
      <w:pPr>
        <w:pStyle w:val="BodyText"/>
      </w:pPr>
      <w:r>
        <w:rPr>
          <w:iCs/>
          <w:i/>
        </w:rPr>
        <w:t xml:space="preserve">Draft Manuscript for Publication in the European Law Review</w:t>
      </w:r>
    </w:p>
    <w:bookmarkStart w:id="20" w:name="abstract"/>
    <w:p>
      <w:pPr>
        <w:pStyle w:val="Heading3"/>
      </w:pPr>
      <w:r>
        <w:t xml:space="preserve">Abstract</w:t>
      </w:r>
    </w:p>
    <w:p>
      <w:pPr>
        <w:pStyle w:val="FirstParagraph"/>
      </w:pPr>
      <w:r>
        <w:t xml:space="preserve">This article examines the critical role of the judge within the judicial landscape of Belgium Brussels. As both a national capital and a supranational hub, Brussels presents a unique environment for legal adjudication. The paper analyzes how Belgian judges navigate the complexities of civil law traditions while addressing cases with international dimensions. It explores procedural reforms in local courts, emphasizing efficiency and accessibility in this multicultural metropolis.</w:t>
      </w:r>
    </w:p>
    <w:bookmarkEnd w:id="20"/>
    <w:bookmarkStart w:id="21" w:name="introduction"/>
    <w:p>
      <w:pPr>
        <w:pStyle w:val="Heading2"/>
      </w:pPr>
      <w:r>
        <w:t xml:space="preserve">1. Introduction</w:t>
      </w:r>
    </w:p>
    <w:p>
      <w:pPr>
        <w:pStyle w:val="FirstParagraph"/>
      </w:pPr>
      <w:r>
        <w:t xml:space="preserve">The judicial system serves as the bedrock of legal certainty and social order within any sovereign state. In</w:t>
      </w:r>
      <w:r>
        <w:t xml:space="preserve"> </w:t>
      </w:r>
      <w:r>
        <w:rPr>
          <w:bCs/>
          <w:b/>
        </w:rPr>
        <w:t xml:space="preserve">Belgium Brussels</w:t>
      </w:r>
      <w:r>
        <w:t xml:space="preserve">, the function of the judge is particularly intricate due to the city’s dual identity: it is not only a key administrative center for Belgium but also a primary location for European Union institutions. Consequently, judges operating in this region must possess a nuanced understanding of both domestic Belgian law and international legal frameworks. This article aims to provide an academic examination of how the</w:t>
      </w:r>
      <w:r>
        <w:t xml:space="preserve"> </w:t>
      </w:r>
      <w:r>
        <w:rPr>
          <w:bCs/>
          <w:b/>
        </w:rPr>
        <w:t xml:space="preserve">judge</w:t>
      </w:r>
      <w:r>
        <w:t xml:space="preserve"> </w:t>
      </w:r>
      <w:r>
        <w:t xml:space="preserve">functions as an arbiter in this specific geographic and political context.</w:t>
      </w:r>
    </w:p>
    <w:p>
      <w:pPr>
        <w:pStyle w:val="BodyText"/>
      </w:pPr>
      <w:r>
        <w:t xml:space="preserve">The judiciary in Belgium Brussels is characterized by a high volume of cases, ranging from routine civil disputes to complex commercial litigation involving cross-border entities. The efficiency with which a judge manages these dockets directly impacts public trust in the rule of law. Furthermore, the linguistic duality inherent in Belgium—French and Dutch—adds a layer of complexity to proceedings in Brussels, requiring judges to be proficient or supported by interpreters to ensure fair trial standards are met.</w:t>
      </w:r>
    </w:p>
    <w:bookmarkEnd w:id="21"/>
    <w:bookmarkStart w:id="22" w:name="X68ccd07dd3febbc735cb08ccd1fe9109702dde6"/>
    <w:p>
      <w:pPr>
        <w:pStyle w:val="Heading2"/>
      </w:pPr>
      <w:r>
        <w:t xml:space="preserve">2. The Structure of Courts in Belgium Brussels</w:t>
      </w:r>
    </w:p>
    <w:p>
      <w:pPr>
        <w:pStyle w:val="FirstParagraph"/>
      </w:pPr>
      <w:r>
        <w:t xml:space="preserve">To understand the role of the judge, one must first appreciate the hierarchical structure of courts located within</w:t>
      </w:r>
      <w:r>
        <w:t xml:space="preserve"> </w:t>
      </w:r>
      <w:r>
        <w:rPr>
          <w:bCs/>
          <w:b/>
        </w:rPr>
        <w:t xml:space="preserve">Belgium Brussels</w:t>
      </w:r>
      <w:r>
        <w:t xml:space="preserve">. The judicial map includes tribunals that handle matters at first instance and appellate levels. For many litigants, the local court serves as their initial point of contact with justice. Here, the judge plays a pivotal role in case management.</w:t>
      </w:r>
    </w:p>
    <w:p>
      <w:pPr>
        <w:pStyle w:val="BodyText"/>
      </w:pPr>
      <w:r>
        <w:t xml:space="preserve">In recent years, there has been a push for modernization within these institutions. The implementation of digital tools allows judges to manage files more efficiently, reducing administrative burdens and allowing more time for legal reasoning. However, the transition to digital justice in</w:t>
      </w:r>
      <w:r>
        <w:t xml:space="preserve"> </w:t>
      </w:r>
      <w:r>
        <w:rPr>
          <w:bCs/>
          <w:b/>
        </w:rPr>
        <w:t xml:space="preserve">Belgium Brussels</w:t>
      </w:r>
      <w:r>
        <w:t xml:space="preserve"> </w:t>
      </w:r>
      <w:r>
        <w:t xml:space="preserve">has faced challenges related to accessibility and training. Judges must balance technological adoption with the need for human-centric adjudication.</w:t>
      </w:r>
    </w:p>
    <w:bookmarkEnd w:id="22"/>
    <w:bookmarkStart w:id="23" w:name="Xd2de1554b066e4b8a6ad230edb8eeb668a5a230"/>
    <w:p>
      <w:pPr>
        <w:pStyle w:val="Heading2"/>
      </w:pPr>
      <w:r>
        <w:t xml:space="preserve">3. Procedural Challenges Facing Judges in Multicultural Settings</w:t>
      </w:r>
    </w:p>
    <w:p>
      <w:pPr>
        <w:pStyle w:val="FirstParagraph"/>
      </w:pPr>
      <w:r>
        <w:t xml:space="preserve">The demographic composition of</w:t>
      </w:r>
      <w:r>
        <w:t xml:space="preserve"> </w:t>
      </w:r>
      <w:r>
        <w:rPr>
          <w:bCs/>
          <w:b/>
        </w:rPr>
        <w:t xml:space="preserve">Belgium Brussels</w:t>
      </w:r>
      <w:r>
        <w:t xml:space="preserve"> </w:t>
      </w:r>
      <w:r>
        <w:t xml:space="preserve">is significantly diverse, comprising residents from numerous countries and linguistic backgrounds. This diversity presents specific procedural challenges for the judge. One of the primary concerns is ensuring that non-native speakers fully understand their rights and the proceedings against them or on their behalf.</w:t>
      </w:r>
    </w:p>
    <w:p>
      <w:pPr>
        <w:pStyle w:val="BodyText"/>
      </w:pPr>
      <w:r>
        <w:t xml:space="preserve">In criminal proceedings, for instance, a judge must ensure that interpretation services are accurate and timely to uphold Article 6 of the European Convention on Human Rights. In civil matters, cultural differences in dispute resolution preferences may influence how parties interact with the court. A skilled judge in Brussels is often trained to recognize these cultural nuances and adapt their communication style accordingly without compromising legal neutrality.</w:t>
      </w:r>
    </w:p>
    <w:p>
      <w:pPr>
        <w:pStyle w:val="BodyText"/>
      </w:pPr>
      <w:r>
        <w:t xml:space="preserve">Moreover, the language of judgment remains a contentious issue. While judgments are officially issued in either French or Dutch based on the linguistic area, many proceedings involve multilingual evidence. Judges must carefully evaluate such evidence and ensure that translations do not alter the substantive meaning of key documents. This requirement places a significant cognitive load on judges who must maintain rigorous attention to detail.</w:t>
      </w:r>
    </w:p>
    <w:bookmarkEnd w:id="23"/>
    <w:bookmarkStart w:id="24" w:name="X3c23fd009ff0769a0e7b517288d9daf13a5cda3"/>
    <w:p>
      <w:pPr>
        <w:pStyle w:val="Heading2"/>
      </w:pPr>
      <w:r>
        <w:t xml:space="preserve">4. The Influence of European Law on Local Judging</w:t>
      </w:r>
    </w:p>
    <w:p>
      <w:pPr>
        <w:pStyle w:val="FirstParagraph"/>
      </w:pPr>
      <w:r>
        <w:t xml:space="preserve">A defining characteristic of being a judge in</w:t>
      </w:r>
      <w:r>
        <w:t xml:space="preserve"> </w:t>
      </w:r>
      <w:r>
        <w:rPr>
          <w:bCs/>
          <w:b/>
        </w:rPr>
        <w:t xml:space="preserve">Belgium Brussels</w:t>
      </w:r>
      <w:r>
        <w:t xml:space="preserve"> </w:t>
      </w:r>
      <w:r>
        <w:t xml:space="preserve">is the proximity to European Union courts and institutions. Many cases heard in local Brussels courts involve questions of EU law, particularly regarding free movement, consumer protection, and competition law.</w:t>
      </w:r>
    </w:p>
    <w:p>
      <w:pPr>
        <w:pStyle w:val="BodyText"/>
      </w:pPr>
      <w:r>
        <w:t xml:space="preserve">Judges are required to act as "ordinary courts" within the meaning of EU jurisprudence. This means they must apply directly applicable EU regulations and interpret national laws in conformity with European directives. When faced with ambiguity, a judge may need to refer questions to the Court of Justice of the European Union (CJEU). This referral process underscores the interconnected nature of modern adjudication.</w:t>
      </w:r>
    </w:p>
    <w:p>
      <w:pPr>
        <w:pStyle w:val="BodyText"/>
      </w:pPr>
      <w:r>
        <w:t xml:space="preserve">The presence of supranational legal influences means that judges in Brussels cannot rely solely on traditional civil law interpretations. They must stay updated on evolving EU case law, which adds another layer to their professional development. Consequently, judicial education in</w:t>
      </w:r>
      <w:r>
        <w:t xml:space="preserve"> </w:t>
      </w:r>
      <w:r>
        <w:rPr>
          <w:bCs/>
          <w:b/>
        </w:rPr>
        <w:t xml:space="preserve">Belgium Brussels</w:t>
      </w:r>
      <w:r>
        <w:t xml:space="preserve"> </w:t>
      </w:r>
      <w:r>
        <w:t xml:space="preserve">increasingly includes modules dedicated to European legal integration.</w:t>
      </w:r>
    </w:p>
    <w:bookmarkEnd w:id="24"/>
    <w:bookmarkStart w:id="25" w:name="judicial-independence-and-ethics"/>
    <w:p>
      <w:pPr>
        <w:pStyle w:val="Heading2"/>
      </w:pPr>
      <w:r>
        <w:t xml:space="preserve">5. Judicial Independence and Ethics</w:t>
      </w:r>
    </w:p>
    <w:p>
      <w:pPr>
        <w:pStyle w:val="FirstParagraph"/>
      </w:pPr>
      <w:r>
        <w:t xml:space="preserve">In any democratic society, the independence of the judge is paramount. In</w:t>
      </w:r>
      <w:r>
        <w:t xml:space="preserve"> </w:t>
      </w:r>
      <w:r>
        <w:rPr>
          <w:bCs/>
          <w:b/>
        </w:rPr>
        <w:t xml:space="preserve">Belgium Brussels</w:t>
      </w:r>
      <w:r>
        <w:t xml:space="preserve">, where political pressure can be heightened due to the concentration of power and media attention, maintaining judicial integrity is essential. Judges are appointed based on merit through competitive examinations administered by the Higher Council of Justice.</w:t>
      </w:r>
    </w:p>
    <w:p>
      <w:pPr>
        <w:pStyle w:val="BodyText"/>
      </w:pPr>
      <w:r>
        <w:t xml:space="preserve">Ethical guidelines dictate that judges must remain impartial and avoid any appearance of bias. This is particularly challenging in high-profile cases involving government officials or major corporations headquartered in Brussels. The public expects transparency and fairness, requiring judges to navigate potential conflicts of interest with utmost diligence.</w:t>
      </w:r>
    </w:p>
    <w:p>
      <w:pPr>
        <w:pStyle w:val="BodyText"/>
      </w:pPr>
      <w:r>
        <w:t xml:space="preserve">Furthermore, the workload pressures in</w:t>
      </w:r>
      <w:r>
        <w:t xml:space="preserve"> </w:t>
      </w:r>
      <w:r>
        <w:rPr>
          <w:bCs/>
          <w:b/>
        </w:rPr>
        <w:t xml:space="preserve">Belgium Brussels</w:t>
      </w:r>
      <w:r>
        <w:t xml:space="preserve"> </w:t>
      </w:r>
      <w:r>
        <w:t xml:space="preserve">can sometimes tempt shortcuts that might compromise ethical standards. Therefore, robust oversight mechanisms are necessary to protect judicial independence from both external political interference and internal procedural fatigue.</w:t>
      </w:r>
    </w:p>
    <w:bookmarkEnd w:id="25"/>
    <w:bookmarkStart w:id="26" w:name="reform-and-future-directions"/>
    <w:p>
      <w:pPr>
        <w:pStyle w:val="Heading2"/>
      </w:pPr>
      <w:r>
        <w:t xml:space="preserve">6. Reform and Future Directions</w:t>
      </w:r>
    </w:p>
    <w:p>
      <w:pPr>
        <w:pStyle w:val="FirstParagraph"/>
      </w:pPr>
      <w:r>
        <w:t xml:space="preserve">The landscape of justice in</w:t>
      </w:r>
      <w:r>
        <w:t xml:space="preserve"> </w:t>
      </w:r>
      <w:r>
        <w:rPr>
          <w:bCs/>
          <w:b/>
        </w:rPr>
        <w:t xml:space="preserve">Belgium Brussels</w:t>
      </w:r>
      <w:r>
        <w:t xml:space="preserve"> </w:t>
      </w:r>
      <w:r>
        <w:t xml:space="preserve">is not static. Ongoing reforms aim to streamline procedures, reduce backlogs, and enhance access to justice for marginalized groups. One notable direction involves the expansion of alternative dispute resolution (ADR) mechanisms supported by judges.</w:t>
      </w:r>
    </w:p>
    <w:p>
      <w:pPr>
        <w:pStyle w:val="BodyText"/>
      </w:pPr>
      <w:r>
        <w:t xml:space="preserve">Judges are increasingly encouraged to facilitate mediation before proceeding to full trial. This shift requires judges to adopt a more facilitative role alongside their traditional adjudicative functions. By promoting settlement, judges can alleviate congestion in courtrooms and provide parties with more satisfactory resolutions tailored to their specific needs.</w:t>
      </w:r>
    </w:p>
    <w:p>
      <w:pPr>
        <w:pStyle w:val="BodyText"/>
      </w:pPr>
      <w:r>
        <w:t xml:space="preserve">Additionally, there is a growing emphasis on restorative justice practices within certain categories of cases. Judges are exploring ways to incorporate victim-offender dialogues where appropriate, reflecting broader societal shifts toward rehabilitation rather than mere punishment.</w:t>
      </w:r>
    </w:p>
    <w:bookmarkEnd w:id="26"/>
    <w:bookmarkStart w:id="28" w:name="conclusion"/>
    <w:p>
      <w:pPr>
        <w:pStyle w:val="Heading2"/>
      </w:pPr>
      <w:r>
        <w:t xml:space="preserve">7. Conclusion</w:t>
      </w:r>
    </w:p>
    <w:p>
      <w:pPr>
        <w:pStyle w:val="FirstParagraph"/>
      </w:pPr>
      <w:r>
        <w:t xml:space="preserve">In conclusion, the role of the judge in</w:t>
      </w:r>
      <w:r>
        <w:t xml:space="preserve"> </w:t>
      </w:r>
      <w:r>
        <w:rPr>
          <w:bCs/>
          <w:b/>
        </w:rPr>
        <w:t xml:space="preserve">Belgium Brussels</w:t>
      </w:r>
      <w:r>
        <w:t xml:space="preserve"> </w:t>
      </w:r>
      <w:r>
        <w:t xml:space="preserve">is multifaceted and demanding. Operating at the intersection of national tradition and international complexity requires judges to be not only legal experts but also culturally aware mediators and administrators of justice.</w:t>
      </w:r>
    </w:p>
    <w:p>
      <w:pPr>
        <w:pStyle w:val="BodyText"/>
      </w:pPr>
      <w:r>
        <w:t xml:space="preserve">The challenges posed by linguistic diversity, EU law integration, and high caseloads necessitate continuous professional development and structural support for judicial officers. As</w:t>
      </w:r>
      <w:r>
        <w:t xml:space="preserve"> </w:t>
      </w:r>
      <w:r>
        <w:rPr>
          <w:bCs/>
          <w:b/>
        </w:rPr>
        <w:t xml:space="preserve">Belgium Brussels</w:t>
      </w:r>
      <w:r>
        <w:t xml:space="preserve"> </w:t>
      </w:r>
      <w:r>
        <w:t xml:space="preserve">continues to evolve as a global city, its judiciary must adapt to meet the changing needs of society while upholding the core principles of fairness, independence, and efficiency.</w:t>
      </w:r>
    </w:p>
    <w:p>
      <w:pPr>
        <w:pStyle w:val="BodyText"/>
      </w:pPr>
      <w:r>
        <w:t xml:space="preserve">Future research should focus on empirical studies measuring the impact of procedural reforms on case resolution times and party satisfaction in</w:t>
      </w:r>
      <w:r>
        <w:t xml:space="preserve"> </w:t>
      </w:r>
      <w:r>
        <w:rPr>
          <w:bCs/>
          <w:b/>
        </w:rPr>
        <w:t xml:space="preserve">Belgium Brussels</w:t>
      </w:r>
      <w:r>
        <w:t xml:space="preserve">. Such data will be crucial for refining judicial practices and ensuring that the justice system remains accessible to all citizens regardless of their background.</w:t>
      </w:r>
    </w:p>
    <w:p>
      <w:r>
        <w:pict>
          <v:rect style="width:0;height:1.5pt" o:hralign="center" o:hrstd="t" o:hr="t"/>
        </w:pict>
      </w:r>
    </w:p>
    <w:bookmarkStart w:id="27" w:name="references"/>
    <w:p>
      <w:pPr>
        <w:pStyle w:val="Heading3"/>
      </w:pPr>
      <w:r>
        <w:t xml:space="preserve">References</w:t>
      </w:r>
    </w:p>
    <w:p>
      <w:pPr>
        <w:pStyle w:val="FirstParagraph"/>
      </w:pPr>
      <w:r>
        <w:rPr>
          <w:iCs/>
          <w:i/>
        </w:rPr>
        <w:t xml:space="preserve">(Note: These are representative citations for academic context)</w:t>
      </w:r>
    </w:p>
    <w:p>
      <w:pPr>
        <w:numPr>
          <w:ilvl w:val="0"/>
          <w:numId w:val="1001"/>
        </w:numPr>
        <w:pStyle w:val="Compact"/>
      </w:pPr>
      <w:r>
        <w:t xml:space="preserve">Van den Berghe, J. (2021).</w:t>
      </w:r>
      <w:r>
        <w:t xml:space="preserve"> </w:t>
      </w:r>
      <w:r>
        <w:rPr>
          <w:bCs/>
          <w:b/>
        </w:rPr>
        <w:t xml:space="preserve">Judicial Efficiency in Urban Centers: The Case of Brussels.</w:t>
      </w:r>
      <w:r>
        <w:t xml:space="preserve"> </w:t>
      </w:r>
      <w:r>
        <w:t xml:space="preserve">European Journal of Law Reform.</w:t>
      </w:r>
    </w:p>
    <w:p>
      <w:pPr>
        <w:numPr>
          <w:ilvl w:val="0"/>
          <w:numId w:val="1001"/>
        </w:numPr>
        <w:pStyle w:val="Compact"/>
      </w:pPr>
      <w:r>
        <w:t xml:space="preserve">Martens, L. (2019). Language Rights and Fair Trial Standards in Multilingual Jurisdictions. Oxford University Press.</w:t>
      </w:r>
    </w:p>
    <w:p>
      <w:pPr>
        <w:numPr>
          <w:ilvl w:val="0"/>
          <w:numId w:val="1001"/>
        </w:numPr>
        <w:pStyle w:val="Compact"/>
      </w:pPr>
      <w:r>
        <w:t xml:space="preserve">Belgian Ministry of Justice. (2023). Annual Report on the Functioning of Courts in Brussels-Capital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Functioning of the Judge in Belgium Brussels: A Comparative and Procedural Analysis</dc:title>
  <dc:creator/>
  <dc:language>en</dc:language>
  <cp:keywords/>
  <dcterms:created xsi:type="dcterms:W3CDTF">2026-07-29T08:36:33Z</dcterms:created>
  <dcterms:modified xsi:type="dcterms:W3CDTF">2026-07-29T08:36:33Z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