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Legal-Academic</w:t>
      </w:r>
      <w:r>
        <w:t xml:space="preserve"> </w:t>
      </w:r>
      <w:r>
        <w:t xml:space="preserve">Perspective</w:t>
      </w:r>
    </w:p>
    <w:bookmarkStart w:id="29" w:name="X77e508af922b3412ea32cbcffcc18f60007dbc7"/>
    <w:p>
      <w:pPr>
        <w:pStyle w:val="Heading1"/>
      </w:pPr>
      <w:r>
        <w:t xml:space="preserve">The Role and Evolution of the Judge in Kuwait City:</w:t>
      </w:r>
      <w:r>
        <w:br/>
      </w:r>
      <w:r>
        <w:t xml:space="preserve">An Academic Analysis of Judicial Independence within the Gulf Context</w:t>
      </w:r>
    </w:p>
    <w:p>
      <w:pPr>
        <w:pStyle w:val="FirstParagraph"/>
      </w:pPr>
      <w:r>
        <w:rPr>
          <w:iCs/>
          <w:i/>
          <w:u w:val="single"/>
          <w:bCs/>
          <w:b/>
        </w:rPr>
        <w:t xml:space="preserve">This is an academic journal article document.</w:t>
      </w:r>
      <w:r>
        <w:br/>
      </w:r>
      <w:r>
        <w:br/>
      </w:r>
      <w:r>
        <w:rPr>
          <w:bCs/>
          <w:b/>
        </w:rPr>
        <w:t xml:space="preserve">Abstract:</w:t>
      </w:r>
      <w:r>
        <w:t xml:space="preserve"> </w:t>
      </w:r>
      <w:r>
        <w:t xml:space="preserve">This paper examines the multifaceted role of the Judge within the legal framework of Kuwait City, focusing on the intersection of Islamic jurisprudence, civil law traditions, and modern constitutional mandates. As a central pillar in Kuwait’s semi-parliamentary system, judicial authority has undergone significant transformations since independence. This article analyzes how a Judge operates within this specific geopolitical and cultural landscape, addressing challenges related to judicial independence, the harmonization of Sharia principles with statutory laws for personal status cases, and the increasing demand for transparency. By contextualizing the judiciary within Kuwait City as both an administrative capital and a center of legal activity, this study provides insights into how contemporary Judges navigate traditional expectations while upholding modern rule-of-law standards.</w:t>
      </w:r>
    </w:p>
    <w:p>
      <w:pPr>
        <w:pStyle w:val="BodyText"/>
      </w:pPr>
      <w:r>
        <w:rPr>
          <w:bCs/>
          <w:b/>
        </w:rPr>
        <w:t xml:space="preserve">Keywords:</w:t>
      </w:r>
      <w:r>
        <w:t xml:space="preserve"> </w:t>
      </w:r>
      <w:r>
        <w:t xml:space="preserve">Judge, Kuwait City, Judicial Independence, Sharia Law, Civil Law System, Arab Legal Systems.</w:t>
      </w:r>
    </w:p>
    <w:bookmarkStart w:id="20" w:name="i.-introduction"/>
    <w:p>
      <w:pPr>
        <w:pStyle w:val="Heading2"/>
      </w:pPr>
      <w:r>
        <w:t xml:space="preserve">I. Introduction</w:t>
      </w:r>
    </w:p>
    <w:p>
      <w:pPr>
        <w:pStyle w:val="FirstParagraph"/>
      </w:pPr>
      <w:r>
        <w:t xml:space="preserve">The institution of the judiciary is fundamental to any functioning state apparatus. In the context of Kuwait City, a rapidly modernizing metropolis that serves as the political and economic heart of Kuwait, the role of the Judge extends far beyond mere dispute resolution. The Judge in this region operates at a critical nexus where ancient Islamic traditions meet contemporary secular legal codes introduced during periods of modernization. This academic examination seeks to elucidate how a Judge in Kuwait City functions within a hybrid legal system that draws heavily from Egyptian civil law models, Ottoman administrative history, and Sharia (Islamic Law).</w:t>
      </w:r>
    </w:p>
    <w:p>
      <w:pPr>
        <w:pStyle w:val="BodyText"/>
      </w:pPr>
      <w:r>
        <w:t xml:space="preserve">Kuwait City is not merely a geographical location; it is the seat of the Supreme Court of Appeals and the primary venue for high-stakes litigation involving international commerce, family law disputes among expatriate populations, and constitutional matters. Therefore, understanding the duties, limitations, and powers of a Judge in this specific locale requires an analysis that transcends standard legal theory to include socio-political dynamics.</w:t>
      </w:r>
    </w:p>
    <w:bookmarkEnd w:id="20"/>
    <w:bookmarkStart w:id="21" w:name="X2e06c0900dee756c5557eb6d5d8f7af6d1d7774"/>
    <w:p>
      <w:pPr>
        <w:pStyle w:val="Heading2"/>
      </w:pPr>
      <w:r>
        <w:t xml:space="preserve">II. Historical Context: The Development of the Judiciary in Kuwait City</w:t>
      </w:r>
    </w:p>
    <w:p>
      <w:pPr>
        <w:pStyle w:val="FirstParagraph"/>
      </w:pPr>
      <w:r>
        <w:t xml:space="preserve">To understand the contemporary position of a Judge, one must look at the historical trajectory of law in Kuwait City. Prior to 1960, legal matters were largely resolved through customary practices and religious scholars rather than formalized courts. The establishment of modern courts marked a significant shift. In 1960, the Ministry of Justice was established, initiating a structured judicial system.</w:t>
      </w:r>
    </w:p>
    <w:p>
      <w:pPr>
        <w:pStyle w:val="BodyText"/>
      </w:pPr>
      <w:r>
        <w:t xml:space="preserve">The Code of Civil Procedure enacted in 1984 remains the cornerstone for civil litigation in Kuwait City. However, personal status cases remain under the purview of Sharia courts, where a Judge is required to have extensive knowledge of Islamic jurisprudence (Fiqh). This dual structure creates a unique professional profile for a Judge: they must be fluent not only in legal terminology but also in religious nuance when presiding over family-related matters. The evolution from informal mediation to formal adjudication in Kuwait City reflects a broader state-building effort where the Judge became an agent of national unity and legal standardization.</w:t>
      </w:r>
    </w:p>
    <w:bookmarkEnd w:id="21"/>
    <w:bookmarkStart w:id="24" w:name="Xc7b685473819f68ffa56cfd471d3b11acf87798"/>
    <w:p>
      <w:pPr>
        <w:pStyle w:val="Heading2"/>
      </w:pPr>
      <w:r>
        <w:t xml:space="preserve">III. The Dual Nature of Legal Application</w:t>
      </w:r>
    </w:p>
    <w:p>
      <w:pPr>
        <w:pStyle w:val="FirstParagraph"/>
      </w:pPr>
      <w:r>
        <w:t xml:space="preserve">A distinct characteristic affecting a Judge in Kuwait City is the bifurcation of legal jurisdictions. When analyzing the workday of a professional Judge, one observes two primary domains:</w:t>
      </w:r>
    </w:p>
    <w:bookmarkStart w:id="22" w:name="a.-civil-and-commercial-jurisdiction"/>
    <w:p>
      <w:pPr>
        <w:pStyle w:val="Heading3"/>
      </w:pPr>
      <w:r>
        <w:t xml:space="preserve">A. Civil and Commercial Jurisdiction</w:t>
      </w:r>
    </w:p>
    <w:p>
      <w:pPr>
        <w:pStyle w:val="FirstParagraph"/>
      </w:pPr>
      <w:r>
        <w:t xml:space="preserve">In civil matters, such as commercial disputes or real estate conflicts within Kuwait City’s business districts, the Judge applies statutes derived largely from French and Egyptian civil codes. The reasoning must be logical, statutory-based, and aligned with international business norms to maintain Kuwait’s status as a regional hub. Here, the Judge acts as an impartial arbiter of written law.</w:t>
      </w:r>
    </w:p>
    <w:bookmarkEnd w:id="22"/>
    <w:bookmarkStart w:id="23" w:name="X9e2dea3000f11ab8a67c4579bf29919db5573d1"/>
    <w:p>
      <w:pPr>
        <w:pStyle w:val="Heading3"/>
      </w:pPr>
      <w:r>
        <w:t xml:space="preserve">B. Personal Status and Sharia Jurisdiction</w:t>
      </w:r>
    </w:p>
    <w:p>
      <w:pPr>
        <w:pStyle w:val="FirstParagraph"/>
      </w:pPr>
      <w:r>
        <w:t xml:space="preserve">Conversely, in cases involving marriage, divorce, inheritance, and child custody for Muslim citizens—or even non-Muslims in certain specific interpretations within Kuwaiti law—the Judge serves as an executor of divine will as interpreted through Islamic schools of thought (Madhabs). This requires a deep theological grounding. The intersection of these two roles means that a single judicial system houses Judges with highly specialized, yet sometimes divergent, areas of expertise.</w:t>
      </w:r>
    </w:p>
    <w:bookmarkEnd w:id="23"/>
    <w:bookmarkEnd w:id="24"/>
    <w:bookmarkStart w:id="25" w:name="Xa0b5d79257b00609052d2c6f21a03d3e111b84d"/>
    <w:p>
      <w:pPr>
        <w:pStyle w:val="Heading2"/>
      </w:pPr>
      <w:r>
        <w:t xml:space="preserve">IV. Judicial Independence and Accountability</w:t>
      </w:r>
    </w:p>
    <w:p>
      <w:pPr>
        <w:pStyle w:val="FirstParagraph"/>
      </w:pPr>
      <w:r>
        <w:t xml:space="preserve">The concept of judicial independence is paramount in academic discourse regarding the rule of law. In Kuwait City, the Constitution guarantees the independence of the judiciary. The Judge is appointed by decree but serves a tenured position that protects against arbitrary dismissal by the executive branch.</w:t>
      </w:r>
    </w:p>
    <w:p>
      <w:pPr>
        <w:pStyle w:val="BodyText"/>
      </w:pPr>
      <w:r>
        <w:t xml:space="preserve">However, practical challenges remain. Critics and legal scholars often debate whether political pressures or social expectations influence judicial outcomes in high-profile cases within Kuwait City. The High Court of Appeals, located centrally in Kuwait City, plays a crucial role here by reviewing lower court decisions for legal errors rather than factual disputes. This appellate mechanism ensures that a Judge’s decision at the first instance is scrutinized for consistency with national laws and Sharia principles.</w:t>
      </w:r>
    </w:p>
    <w:p>
      <w:pPr>
        <w:pStyle w:val="BodyText"/>
      </w:pPr>
      <w:r>
        <w:t xml:space="preserve">Furthermore, the establishment of judicial councils has provided Judges with an internal oversight body, theoretically insulating them from external executive interference. This structural protection is vital for maintaining public trust in the legal system of Kuwait City.</w:t>
      </w:r>
    </w:p>
    <w:bookmarkEnd w:id="25"/>
    <w:bookmarkStart w:id="26" w:name="Xfd52f9b54270d46528723682237651d9c0ebe50"/>
    <w:p>
      <w:pPr>
        <w:pStyle w:val="Heading2"/>
      </w:pPr>
      <w:r>
        <w:t xml:space="preserve">V. Contemporary Challenges Facing Judges in Kuwait City</w:t>
      </w:r>
    </w:p>
    <w:p>
      <w:pPr>
        <w:pStyle w:val="FirstParagraph"/>
      </w:pPr>
      <w:r>
        <w:t xml:space="preserve">The modern era presents new complexities for a Judge operating in Kuwait City:</w:t>
      </w:r>
    </w:p>
    <w:p>
      <w:pPr>
        <w:numPr>
          <w:ilvl w:val="0"/>
          <w:numId w:val="1001"/>
        </w:numPr>
        <w:pStyle w:val="Compact"/>
      </w:pPr>
      <w:r>
        <w:rPr>
          <w:bCs/>
          <w:b/>
        </w:rPr>
        <w:t xml:space="preserve">Digitalization and Efficiency:</w:t>
      </w:r>
      <w:r>
        <w:t xml:space="preserve"> </w:t>
      </w:r>
      <w:r>
        <w:t xml:space="preserve">As Kuwait City pushes towards digital governance, Judges are increasingly required to manage electronic filing systems and virtual hearings. This transition demands technological literacy alongside traditional legal acumen.</w:t>
      </w:r>
    </w:p>
    <w:p>
      <w:pPr>
        <w:numPr>
          <w:ilvl w:val="0"/>
          <w:numId w:val="1001"/>
        </w:numPr>
        <w:pStyle w:val="Compact"/>
      </w:pPr>
      <w:r>
        <w:rPr>
          <w:bCs/>
          <w:b/>
        </w:rPr>
        <w:t xml:space="preserve">Multicultural Litigation:</w:t>
      </w:r>
      <w:r>
        <w:t xml:space="preserve"> </w:t>
      </w:r>
      <w:r>
        <w:t xml:space="preserve">With a significant expatriate population in Kuwait City, cases often involve parties from diverse legal backgrounds (Common Law vs. Civil Law systems). A Judge must navigate these cultural and procedural differences while maintaining the integrity of local law.</w:t>
      </w:r>
    </w:p>
    <w:p>
      <w:pPr>
        <w:numPr>
          <w:ilvl w:val="0"/>
          <w:numId w:val="1001"/>
        </w:numPr>
        <w:pStyle w:val="Compact"/>
      </w:pPr>
      <w:r>
        <w:rPr>
          <w:bCs/>
          <w:b/>
        </w:rPr>
        <w:t xml:space="preserve">Feminist Legal Reform:</w:t>
      </w:r>
      <w:r>
        <w:t xml:space="preserve"> </w:t>
      </w:r>
      <w:r>
        <w:t xml:space="preserve">There is ongoing discourse regarding the role of women as Judges in Kuwait. While recent reforms have opened doors for female legal professionals, traditional interpretations within certain religious schools can create friction when a Judge interprets gender-specific statutes. The presence of female Judges in Kuwait City represents a significant step toward modernizing the judiciary’s demographic and interpretive scope.</w:t>
      </w:r>
    </w:p>
    <w:bookmarkEnd w:id="26"/>
    <w:bookmarkStart w:id="27" w:name="vi.-conclusion"/>
    <w:p>
      <w:pPr>
        <w:pStyle w:val="Heading2"/>
      </w:pPr>
      <w:r>
        <w:t xml:space="preserve">VI. Conclusion</w:t>
      </w:r>
    </w:p>
    <w:p>
      <w:pPr>
        <w:pStyle w:val="FirstParagraph"/>
      </w:pPr>
      <w:r>
        <w:t xml:space="preserve">The role of the Judge in Kuwait City is complex, dynamic, and deeply rooted in history. They are not merely administrators of justice but custodians of a unique legal identity that blends Islamic heritage with modern civil administration. For the academic observer, studying a Judge in this context provides valuable insights into how post-colonial and resource-rich Gulf states attempt to balance tradition with modernity.</w:t>
      </w:r>
    </w:p>
    <w:p>
      <w:pPr>
        <w:pStyle w:val="BodyText"/>
      </w:pPr>
      <w:r>
        <w:t xml:space="preserve">As Kuwait City continues to evolve economically and socially, the expectations placed upon a Judge will likely shift toward greater transparency, efficiency, and alignment with international human rights standards. However, the core mandate remains unchanged: to uphold the Constitution and apply Sharia where prescribed. Future research should focus on empirical studies of judicial decision-making patterns in Kuwait City to further understand how these traditional values are negotiated in contemporary courtrooms.</w:t>
      </w:r>
    </w:p>
    <w:bookmarkEnd w:id="27"/>
    <w:bookmarkStart w:id="28" w:name="vii.-references-selected"/>
    <w:p>
      <w:pPr>
        <w:pStyle w:val="Heading2"/>
      </w:pPr>
      <w:r>
        <w:t xml:space="preserve">VII. References (Selected)</w:t>
      </w:r>
    </w:p>
    <w:p>
      <w:pPr>
        <w:numPr>
          <w:ilvl w:val="0"/>
          <w:numId w:val="1002"/>
        </w:numPr>
        <w:pStyle w:val="Compact"/>
      </w:pPr>
      <w:r>
        <w:t xml:space="preserve">Kuwait Constitution (1962, with amendments).</w:t>
      </w:r>
    </w:p>
    <w:p>
      <w:pPr>
        <w:numPr>
          <w:ilvl w:val="0"/>
          <w:numId w:val="1002"/>
        </w:numPr>
        <w:pStyle w:val="Compact"/>
      </w:pPr>
      <w:r>
        <w:t xml:space="preserve">Civil Code of Kuwait (Law No. 67 of 1980).</w:t>
      </w:r>
    </w:p>
    <w:p>
      <w:pPr>
        <w:numPr>
          <w:ilvl w:val="0"/>
          <w:numId w:val="1002"/>
        </w:numPr>
        <w:pStyle w:val="Compact"/>
      </w:pPr>
      <w:r>
        <w:t xml:space="preserve">Kuwait Personal Status Law (Law No. 51 of 2014).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Kuwait City: A Legal-Academic Perspective</dc:title>
  <dc:creator/>
  <dc:language>en</dc:language>
  <cp:keywords/>
  <dcterms:created xsi:type="dcterms:W3CDTF">2026-07-29T12:24:22Z</dcterms:created>
  <dcterms:modified xsi:type="dcterms:W3CDTF">2026-07-29T12:24:22Z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