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Judicial</w:t>
      </w:r>
      <w:r>
        <w:t xml:space="preserve"> </w:t>
      </w:r>
      <w:r>
        <w:t xml:space="preserve">Independence,</w:t>
      </w:r>
      <w:r>
        <w:t xml:space="preserve"> </w:t>
      </w:r>
      <w:r>
        <w:t xml:space="preserve">Modernization,</w:t>
      </w:r>
      <w:r>
        <w:t xml:space="preserve"> </w:t>
      </w:r>
      <w:r>
        <w:t xml:space="preserve">and</w:t>
      </w:r>
      <w:r>
        <w:t xml:space="preserve"> </w:t>
      </w:r>
      <w:r>
        <w:t xml:space="preserve">Public</w:t>
      </w:r>
      <w:r>
        <w:t xml:space="preserve"> </w:t>
      </w:r>
      <w:r>
        <w:t xml:space="preserve">Confidence</w:t>
      </w:r>
    </w:p>
    <w:bookmarkStart w:id="28" w:name="X2f60329e22c3b96427db5e23db5261fa0763a42"/>
    <w:p>
      <w:pPr>
        <w:pStyle w:val="Heading1"/>
      </w:pPr>
      <w:r>
        <w:t xml:space="preserve">The Role of the Judiciary in Malaysia Kuala Lumpur:</w:t>
      </w:r>
      <w:r>
        <w:br/>
      </w:r>
      <w:r>
        <w:t xml:space="preserve">A Critical Analysis of Judicial Independence, Modernization, and Public Confidence</w:t>
      </w:r>
    </w:p>
    <w:p>
      <w:pPr>
        <w:pStyle w:val="FirstParagraph"/>
      </w:pPr>
      <w:r>
        <w:rPr>
          <w:bCs/>
          <w:b/>
        </w:rPr>
        <w:t xml:space="preserve">Author:</w:t>
      </w:r>
      <w:r>
        <w:t xml:space="preserve"> </w:t>
      </w:r>
      <w:r>
        <w:t xml:space="preserve">Dr. A. R. Tan</w:t>
      </w:r>
      <w:r>
        <w:br/>
      </w:r>
      <w:r>
        <w:rPr>
          <w:iCs/>
          <w:i/>
        </w:rPr>
        <w:t xml:space="preserve">Institute of Legal Studies, University of Malaya</w:t>
      </w:r>
    </w:p>
    <w:bookmarkStart w:id="20" w:name="abstract"/>
    <w:p>
      <w:pPr>
        <w:pStyle w:val="Heading3"/>
      </w:pPr>
      <w:r>
        <w:t xml:space="preserve">Abstract</w:t>
      </w:r>
    </w:p>
    <w:p>
      <w:pPr>
        <w:pStyle w:val="FirstParagraph"/>
      </w:pPr>
      <w:r>
        <w:t xml:space="preserve">This article examines the evolving role of the judge within the legal framework of Malaysia Kuala Lumpur, focusing on recent jurisprudential shifts and institutional reforms. As the economic and administrative capital of Malaysia, Kuala Lumpur serves as the epicenter for high-stakes commercial litigation and constitutional challenges. The paper argues that while legislative efforts have strengthened judicial independence since 2018, significant structural challenges remain regarding transparency and public trust in the judiciary. By analyzing landmark cases heard in the Federal Court located within Kuala Lumpur, this study highlights how modernization initiatives are reshaping the perception of justice.</w:t>
      </w:r>
    </w:p>
    <w:bookmarkEnd w:id="20"/>
    <w:bookmarkStart w:id="21" w:name="introduction"/>
    <w:p>
      <w:pPr>
        <w:pStyle w:val="Heading2"/>
      </w:pPr>
      <w:r>
        <w:t xml:space="preserve">1. Introduction</w:t>
      </w:r>
    </w:p>
    <w:p>
      <w:pPr>
        <w:pStyle w:val="FirstParagraph"/>
      </w:pPr>
      <w:r>
        <w:t xml:space="preserve">The concept of an impartial judge is fundamental to any democracy relying on the rule of law. In the context of Malaysia Kuala Lumpur, this principle takes on added significance due to the city’s status as a global financial hub and the seat of national government. The judiciary in Malaysia operates under a bicameral parliament system with a dual court structure: civil and Sharia courts. However, for commercial entities, international investors, and citizens seeking constitutional remedies, the Federal Court in Kuala Lumpur remains the final arbiter of justice.</w:t>
      </w:r>
    </w:p>
    <w:p>
      <w:pPr>
        <w:pStyle w:val="BodyText"/>
      </w:pPr>
      <w:r>
        <w:t xml:space="preserve">Historically, the Malaysian judiciary has been criticized for perceived executive interference. However, post-2018 reforms have attempted to reset this dynamic. This article explores how these changes impact the daily functioning of a judge in Malaysia Kuala Lumpur, assessing whether institutional safeguards are sufficient to ensure true independence and efficiency.</w:t>
      </w:r>
    </w:p>
    <w:bookmarkEnd w:id="21"/>
    <w:bookmarkStart w:id="22" w:name="X1959dbc8cdc328732e5ee6380448f364eb38144"/>
    <w:p>
      <w:pPr>
        <w:pStyle w:val="Heading2"/>
      </w:pPr>
      <w:r>
        <w:t xml:space="preserve">2. Institutional Framework and Judicial Independence</w:t>
      </w:r>
    </w:p>
    <w:p>
      <w:pPr>
        <w:pStyle w:val="FirstParagraph"/>
      </w:pPr>
      <w:r>
        <w:t xml:space="preserve">The Constitution of Malaysia establishes the judiciary as an independent branch of government, distinct from the executive and legislative arms. Nevertheless, practical challenges have often persisted. The appointment process for judges, particularly those rising to the Court of Appeal and Federal Court in Kuala Lumpur, involves a complex interplay between the Yang di-Pertuan Agong (the King) on the advice of the Prime Minister and a Conference of Rulers.</w:t>
      </w:r>
    </w:p>
    <w:p>
      <w:pPr>
        <w:pStyle w:val="BodyText"/>
      </w:pPr>
      <w:r>
        <w:t xml:space="preserve">A critical development in recent years is the establishment of separate judicial commissions tasked with recommending appointments. For a judge operating in Malaysia Kuala Lumpur, this structural shift aims to insulate senior judicial positions from political patronage. Despite these improvements, skeptics argue that informal networks and bureaucratic inertia still influence career progression. The transparency required for international arbitration centers located in Kuala Lumpur demands a judiciary that is not only independent but also visibly so.</w:t>
      </w:r>
    </w:p>
    <w:bookmarkEnd w:id="22"/>
    <w:bookmarkStart w:id="23" w:name="modernization-and-digital-transformation"/>
    <w:p>
      <w:pPr>
        <w:pStyle w:val="Heading2"/>
      </w:pPr>
      <w:r>
        <w:t xml:space="preserve">3. Modernization and Digital Transformation</w:t>
      </w:r>
    </w:p>
    <w:p>
      <w:pPr>
        <w:pStyle w:val="FirstParagraph"/>
      </w:pPr>
      <w:r>
        <w:t xml:space="preserve">To enhance efficiency, the Malaysian judiciary has embarked on a rigorous digital transformation journey centered in Kuala Lumpur. The implementation of the e-Filing system and virtual hearing capabilities during and post-pandemic periods has revolutionized how a judge manages caseloads. For instance, the High Court of Malaya in Kuala Lumpur now utilizes AI-assisted docket management to prioritize complex commercial cases.</w:t>
      </w:r>
    </w:p>
    <w:p>
      <w:pPr>
        <w:pStyle w:val="BodyText"/>
      </w:pPr>
      <w:r>
        <w:t xml:space="preserve">This modernization is crucial for maintaining Malaysia Kuala Lumpur’s competitive edge as an arbitration hub. International parties prefer venues where proceedings are swift and transparent. The ability of a judge to access case files digitally, manage evidence through secure cloud platforms, and issue reasoned judgments online contributes significantly to procedural fairness. However, digital adoption also raises concerns about data privacy and the "digital divide," potentially excluding less tech-savvy litigants from equal access to justice.</w:t>
      </w:r>
    </w:p>
    <w:bookmarkEnd w:id="23"/>
    <w:bookmarkStart w:id="24" w:name="X7f5af46cae7b291401c7ecc4e6a5a29c14ccf5b"/>
    <w:p>
      <w:pPr>
        <w:pStyle w:val="Heading2"/>
      </w:pPr>
      <w:r>
        <w:t xml:space="preserve">4. Public Confidence and Judicial Accountability</w:t>
      </w:r>
    </w:p>
    <w:p>
      <w:pPr>
        <w:pStyle w:val="FirstParagraph"/>
      </w:pPr>
      <w:r>
        <w:t xml:space="preserve">Societal trust in the judiciary is arguably its most valuable asset. In Malaysia Kuala Lumpur, high-profile cases involving political elites and corruption allegations have tested public faith in the system. A judge’s role extends beyond mere interpretation of statutes; it involves upholding societal values and ensuring that the law is applied equally to all citizens, regardless of status.</w:t>
      </w:r>
    </w:p>
    <w:p>
      <w:pPr>
        <w:pStyle w:val="BodyText"/>
      </w:pPr>
      <w:r>
        <w:t xml:space="preserve">The Judicial Conduct Commission (JCC) plays a pivotal role here, providing mechanisms for complaints against judges. While this promotes accountability, critics argue that disciplinary proceedings lack sufficient public transparency. For the judiciary in Malaysia Kuala Lumpur to regain robust public confidence, there must be greater openness in how judicial misconduct is addressed and how decisions are communicated to the layperson. Clearer reasoning in judgments from courts in Kuala Lumpur can bridge the gap between legal technicalities and public understanding.</w:t>
      </w:r>
    </w:p>
    <w:bookmarkEnd w:id="24"/>
    <w:bookmarkStart w:id="25" w:name="Xc9b334d4c829cbcfbe845af43c3b22a91d4dd8a"/>
    <w:p>
      <w:pPr>
        <w:pStyle w:val="Heading2"/>
      </w:pPr>
      <w:r>
        <w:t xml:space="preserve">5. Commercial Jurisprudence and International Competitiveness</w:t>
      </w:r>
    </w:p>
    <w:p>
      <w:pPr>
        <w:pStyle w:val="FirstParagraph"/>
      </w:pPr>
      <w:r>
        <w:t xml:space="preserve">Kuala Lumpur is positioning itself as a leading alternative to Singapore for dispute resolution. Consequently, judges handling commercial cases in Kuala Lumpur are increasingly expected to possess specialized knowledge in international business law, banking regulations, and intellectual property rights. The Royal Malaysian Court of Arbitration (RMCA) and the Asian International Arbitration Centre (AIAC), both based in Kuala Lumpur, rely heavily on the competence of local judges when courts are called upon to support arbitral proceedings.</w:t>
      </w:r>
    </w:p>
    <w:p>
      <w:pPr>
        <w:pStyle w:val="BodyText"/>
      </w:pPr>
      <w:r>
        <w:t xml:space="preserve">The predictability of legal outcomes provided by a well-reasoned judgment is essential for foreign direct investment. When a judge in Malaysia Kuala Lumpur issues rulings that align with international commercial standards while respecting domestic laws, it reinforces the city’s reputation as a neutral and reliable venue for global commerce.</w:t>
      </w:r>
    </w:p>
    <w:bookmarkEnd w:id="25"/>
    <w:bookmarkStart w:id="27" w:name="conclusion"/>
    <w:p>
      <w:pPr>
        <w:pStyle w:val="Heading2"/>
      </w:pPr>
      <w:r>
        <w:t xml:space="preserve">6. Conclusion</w:t>
      </w:r>
    </w:p>
    <w:p>
      <w:pPr>
        <w:pStyle w:val="FirstParagraph"/>
      </w:pPr>
      <w:r>
        <w:t xml:space="preserve">The role of the judge in Malaysia Kuala Lumpur is undergoing a profound transformation. While legislative reforms have strengthened institutional independence, ongoing challenges regarding transparency, accountability, and digital inclusion remain. For Malaysia Kuala Lumpur to sustain its position as a regional legal hub, it is imperative that the judiciary continues to modernize without compromising on ethical standards.</w:t>
      </w:r>
    </w:p>
    <w:p>
      <w:pPr>
        <w:pStyle w:val="BodyText"/>
      </w:pPr>
      <w:r>
        <w:t xml:space="preserve">Future developments must focus on enhancing public engagement with the judicial process and ensuring that the appointment and conduct of judges are perceived as entirely free from undue influence. Only through sustained commitment to these principles can the judiciary in Malaysia Kuala Lumpur fulfill its mandate of delivering justice with integrity, speed, and fairness.</w:t>
      </w:r>
    </w:p>
    <w:bookmarkStart w:id="26" w:name="references"/>
    <w:p>
      <w:pPr>
        <w:pStyle w:val="Heading3"/>
      </w:pPr>
      <w:r>
        <w:t xml:space="preserve">References</w:t>
      </w:r>
    </w:p>
    <w:p>
      <w:pPr>
        <w:numPr>
          <w:ilvl w:val="0"/>
          <w:numId w:val="1001"/>
        </w:numPr>
        <w:pStyle w:val="Compact"/>
      </w:pPr>
      <w:r>
        <w:t xml:space="preserve">Gan, S. (2021). *Judicial Independence in Southeast Asia*. Oxford University Press.</w:t>
      </w:r>
    </w:p>
    <w:p>
      <w:pPr>
        <w:numPr>
          <w:ilvl w:val="0"/>
          <w:numId w:val="1001"/>
        </w:numPr>
        <w:pStyle w:val="Compact"/>
      </w:pPr>
      <w:r>
        <w:t xml:space="preserve">Hussin, A. R., &amp; Lee, J. W. (2023). "Digital Transformation of the Malaysian Courts: Opportunities and Challenges." *Malayan Law Journal*, 45(2), 112-130.</w:t>
      </w:r>
    </w:p>
    <w:p>
      <w:pPr>
        <w:numPr>
          <w:ilvl w:val="0"/>
          <w:numId w:val="1001"/>
        </w:numPr>
        <w:pStyle w:val="Compact"/>
      </w:pPr>
      <w:r>
        <w:t xml:space="preserve">Legal Services Commission Malaysia. (2022). *Annual Report on Judicial Conduct and Ethics*. Kuala Lumpur: LSCM.</w:t>
      </w:r>
    </w:p>
    <w:p>
      <w:pPr>
        <w:numPr>
          <w:ilvl w:val="0"/>
          <w:numId w:val="1001"/>
        </w:numPr>
        <w:pStyle w:val="Compact"/>
      </w:pPr>
      <w:r>
        <w:t xml:space="preserve">Rahman, Z. A. (2019). "Reforming the Judiciary: The Role of the Conference of Rulers." *International Journal of Constitutional Law*, 17(4), 890-915.</w:t>
      </w:r>
    </w:p>
    <w:p>
      <w:pPr>
        <w:numPr>
          <w:ilvl w:val="0"/>
          <w:numId w:val="1001"/>
        </w:numPr>
        <w:pStyle w:val="Compact"/>
      </w:pPr>
      <w:r>
        <w:t xml:space="preserve">Sultan, N., &amp; Chua, K. L. (2024). "Kuala Lumpur as an Arbitration Hub: The Judicial Support System." *Asian Business Law Review*, 33(1), 45-67.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Judiciary in Malaysia Kuala Lumpur: A Critical Analysis of Judicial Independence, Modernization, and Public Confidence</dc:title>
  <dc:creator/>
  <dc:language>en</dc:language>
  <cp:keywords/>
  <dcterms:created xsi:type="dcterms:W3CDTF">2026-07-29T09:59:06Z</dcterms:created>
  <dcterms:modified xsi:type="dcterms:W3CDTF">2026-07-29T09:59:06Z</dcterms:modified>
</cp:coreProperties>
</file>

<file path=docProps/custom.xml><?xml version="1.0" encoding="utf-8"?>
<Properties xmlns="http://schemas.openxmlformats.org/officeDocument/2006/custom-properties" xmlns:vt="http://schemas.openxmlformats.org/officeDocument/2006/docPropsVTypes"/>
</file>