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Judicial</w:t>
      </w:r>
      <w:r>
        <w:t xml:space="preserve"> </w:t>
      </w:r>
      <w:r>
        <w:t xml:space="preserve">Authority:</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New</w:t>
      </w:r>
      <w:r>
        <w:t xml:space="preserve"> </w:t>
      </w:r>
      <w:r>
        <w:t xml:space="preserve">Zealand,</w:t>
      </w:r>
      <w:r>
        <w:t xml:space="preserve"> </w:t>
      </w:r>
      <w:r>
        <w:t xml:space="preserve">Auckland</w:t>
      </w:r>
    </w:p>
    <w:bookmarkStart w:id="29" w:name="X50e5356797785755e204df73831b5c46e5f2ab1"/>
    <w:p>
      <w:pPr>
        <w:pStyle w:val="Heading1"/>
      </w:pPr>
      <w:r>
        <w:t xml:space="preserve">The Evolution of Judicial Authority and Cultural Integration in the Modern Era</w:t>
      </w:r>
    </w:p>
    <w:bookmarkStart w:id="21" w:name="Xd85a1d2257c3d6755db772f0d308d5939f56faa"/>
    <w:p>
      <w:pPr>
        <w:pStyle w:val="Heading2"/>
      </w:pPr>
      <w:r>
        <w:t xml:space="preserve">A Comprehensive Analysis of the Judge in the Context of New Zealand, Auckland</w:t>
      </w:r>
    </w:p>
    <w:p>
      <w:pPr>
        <w:pStyle w:val="FirstParagraph"/>
      </w:pPr>
      <w:r>
        <w:rPr>
          <w:bCs/>
          <w:b/>
        </w:rPr>
        <w:t xml:space="preserve">Sarah J. Henderson, LL.M.</w:t>
      </w:r>
      <w:r>
        <w:br/>
      </w:r>
      <w:r>
        <w:t xml:space="preserve">Senior Fellow, Institute for Legal Studies</w:t>
      </w:r>
      <w:r>
        <w:br/>
      </w:r>
      <w:r>
        <w:t xml:space="preserve">University of Auckland</w:t>
      </w:r>
    </w:p>
    <w:bookmarkStart w:id="20" w:name="abstract"/>
    <w:p>
      <w:pPr>
        <w:pStyle w:val="Heading3"/>
      </w:pPr>
      <w:r>
        <w:t xml:space="preserve">Abstract</w:t>
      </w:r>
    </w:p>
    <w:p>
      <w:pPr>
        <w:pStyle w:val="FirstParagraph"/>
      </w:pPr>
      <w:r>
        <w:t xml:space="preserve">This article examines the multifaceted role of the Judge within the legal framework of New Zealand, with a specific geographical and sociological focus on Auckland. As New Zealand’s largest city, Auckland presents a unique confluence of common law traditions and indigenous Māori jurisprudence. This paper argues that the modern Judge in New Zealand, particularly those serving in Auckland, must navigate a complex dual responsibility: upholding the strictures of Anglo-derived statutory interpretation while actively engaging with Te Tiriti o Waitangi principles. Through an analysis of recent case law, judicial appointments, and procedural adaptations in the Auckland District Court and High Court registries, this article demonstrates that the definition of judicial authority is expanding to include cultural competency and community legitimacy alongside legal precision.</w:t>
      </w:r>
    </w:p>
    <w:bookmarkEnd w:id="20"/>
    <w:bookmarkEnd w:id="21"/>
    <w:bookmarkStart w:id="22" w:name="X8cd39c820f43e7551151519cd2d841a2d2f702d"/>
    <w:p>
      <w:pPr>
        <w:pStyle w:val="Heading2"/>
      </w:pPr>
      <w:r>
        <w:t xml:space="preserve">I. Introduction: The Unique Jurisprudential Landscape</w:t>
      </w:r>
    </w:p>
    <w:p>
      <w:pPr>
        <w:pStyle w:val="FirstParagraph"/>
      </w:pPr>
      <w:r>
        <w:t xml:space="preserve">The concept of the Judge has traditionally been viewed through a lens of impartiality, adherence to precedent, and technical legal expertise. However, in the context of New Zealand Auckland, this traditional view is increasingly insufficient. Auckland is not merely a geographic location; it is a demographic powerhouse representing over one-third of New Zealand’s population and serving as the primary hub for multicultural interaction within the country. Consequently, the Judge operating in this jurisdiction faces heightened scrutiny regarding accessibility, cultural sensitivity, and procedural fairness.</w:t>
      </w:r>
    </w:p>
    <w:p>
      <w:pPr>
        <w:pStyle w:val="BodyText"/>
      </w:pPr>
      <w:r>
        <w:t xml:space="preserve">New Zealand operates under a mixed legal system that blends English common law with unique statutory provisions derived from Te Tiriti o Waitangi (The Treaty of Waitangi). For the Judge in New Zealand Auckland, this means that every decision potentially carries weight beyond the immediate parties involved. The judiciary must balance the rigidity of precedent with the fluidity of social justice, particularly in a city where urban development, housing crises, and indigenous rights intersect daily.</w:t>
      </w:r>
    </w:p>
    <w:bookmarkEnd w:id="22"/>
    <w:bookmarkStart w:id="23" w:name="Xaba9c67e07daab2ae328edaf8c8f153a7a5aaf2"/>
    <w:p>
      <w:pPr>
        <w:pStyle w:val="Heading2"/>
      </w:pPr>
      <w:r>
        <w:t xml:space="preserve">II. The Role of the Judge in Upholding Te Tiriti o Waitangi</w:t>
      </w:r>
    </w:p>
    <w:p>
      <w:pPr>
        <w:pStyle w:val="FirstParagraph"/>
      </w:pPr>
      <w:r>
        <w:t xml:space="preserve">A critical aspect of being a Judge in New Zealand is the obligation to interpret legislation through the lens of Te Tiriti o Waitangi principles, where applicable. This does not mean rewriting law, but rather ensuring that legislative intent aligns with the partnership, participation, and protection mandated by the Treaty. In Auckland, where Māori populations are significant and diverse in their urban experiences (often referred to as Tūpuna Maunga authority contexts), this role is amplified.</w:t>
      </w:r>
    </w:p>
    <w:p>
      <w:pPr>
        <w:pStyle w:val="BodyText"/>
      </w:pPr>
      <w:r>
        <w:t xml:space="preserve">The Judge must possess what scholars term "cultural competency." This involves understanding concepts such as</w:t>
      </w:r>
      <w:r>
        <w:t xml:space="preserve"> </w:t>
      </w:r>
      <w:r>
        <w:rPr>
          <w:iCs/>
          <w:i/>
        </w:rPr>
        <w:t xml:space="preserve">kaitiakitanga</w:t>
      </w:r>
      <w:r>
        <w:t xml:space="preserve"> </w:t>
      </w:r>
      <w:r>
        <w:t xml:space="preserve">(guardianship) and</w:t>
      </w:r>
      <w:r>
        <w:t xml:space="preserve"> </w:t>
      </w:r>
      <w:r>
        <w:rPr>
          <w:iCs/>
          <w:i/>
        </w:rPr>
        <w:t xml:space="preserve">mana</w:t>
      </w:r>
      <w:r>
        <w:t xml:space="preserve"> </w:t>
      </w:r>
      <w:r>
        <w:t xml:space="preserve">(authority/prestige). For instance, in sentencing hearings within the Auckland District Court, judges are increasingly required to consider restorative justice practices that resonate with Māori customs. The failure of a Judge to recognize these nuances can lead to perceptions of systemic bias, thereby undermining the legitimacy of the judicial process. Therefore, the modern Judge is not just an arbiter of law but a mediator between colonial legal structures and indigenous worldviews.</w:t>
      </w:r>
    </w:p>
    <w:bookmarkEnd w:id="23"/>
    <w:bookmarkStart w:id="24" w:name="X59ed0bdd389cdfb5370c9ee50b3192db14644e2"/>
    <w:p>
      <w:pPr>
        <w:pStyle w:val="Heading2"/>
      </w:pPr>
      <w:r>
        <w:t xml:space="preserve">III. Procedural Innovations in Auckland Courts</w:t>
      </w:r>
    </w:p>
    <w:p>
      <w:pPr>
        <w:pStyle w:val="FirstParagraph"/>
      </w:pPr>
      <w:r>
        <w:t xml:space="preserve">The physical and procedural environment of courts in New Zealand Auckland has undergone significant transformation to accommodate the diverse needs of litigants. The Judge is expected to manage these proceedings with empathy and adaptability. Recent reforms have introduced specialized lists for family violence, mental health issues, and youth offending, all of which are prominent in Auckland due to its dense urban population.</w:t>
      </w:r>
    </w:p>
    <w:p>
      <w:pPr>
        <w:pStyle w:val="BodyText"/>
      </w:pPr>
      <w:r>
        <w:t xml:space="preserve">For example, the implementation of</w:t>
      </w:r>
      <w:r>
        <w:t xml:space="preserve"> </w:t>
      </w:r>
      <w:r>
        <w:rPr>
          <w:iCs/>
          <w:i/>
        </w:rPr>
        <w:t xml:space="preserve">Kawa Whenua</w:t>
      </w:r>
      <w:r>
        <w:t xml:space="preserve"> </w:t>
      </w:r>
      <w:r>
        <w:t xml:space="preserve">(land-based restorative justice) programs requires Judges to step outside the traditional courtroom setting. This shift demands that the Judge be willing to engage with community leaders and iwi (tribal) representatives. Such interactions challenge the traditional notion of judicial isolation, requiring a more collaborative approach to justice delivery. The Judge in New Zealand Auckland must thus be flexible, recognizing that legal outcomes are often more sustainable when they incorporate community healing rather than purely punitive measures.</w:t>
      </w:r>
    </w:p>
    <w:bookmarkEnd w:id="24"/>
    <w:bookmarkStart w:id="25" w:name="X2dd527ccfcf1cfd96cf8d8d0b8986711aaed858"/>
    <w:p>
      <w:pPr>
        <w:pStyle w:val="Heading2"/>
      </w:pPr>
      <w:r>
        <w:t xml:space="preserve">IV. Diversity and Representation on the Bench</w:t>
      </w:r>
    </w:p>
    <w:p>
      <w:pPr>
        <w:pStyle w:val="FirstParagraph"/>
      </w:pPr>
      <w:r>
        <w:t xml:space="preserve">The demographic composition of the judiciary directly impacts public confidence in the legal system. New Zealand has made concerted efforts to increase diversity among its judges, reflecting the multicultural reality of Auckland. A Judge who reflects the community they serve is better equipped to understand implicit biases and cultural contexts. In Auckland, this means having Judges from Pacific Islander, Asian, and Māori backgrounds who can bring lived experience to their adjudication.</w:t>
      </w:r>
    </w:p>
    <w:p>
      <w:pPr>
        <w:pStyle w:val="BodyText"/>
      </w:pPr>
      <w:r>
        <w:t xml:space="preserve">This diversity is not merely symbolic; it enhances the quality of judicial reasoning. Different perspectives allow for a more comprehensive understanding of legal issues. For example, a Judge with an immigrant background may better grasp the complexities of migration law cases that are prevalent in Auckland’s international gateway status. Thus, the appointment and retention of diverse Judges is a strategic imperative for maintaining social cohesion in New Zealand.</w:t>
      </w:r>
    </w:p>
    <w:bookmarkEnd w:id="25"/>
    <w:bookmarkStart w:id="26" w:name="v.-challenges-and-future-directions"/>
    <w:p>
      <w:pPr>
        <w:pStyle w:val="Heading2"/>
      </w:pPr>
      <w:r>
        <w:t xml:space="preserve">V. Challenges and Future Directions</w:t>
      </w:r>
    </w:p>
    <w:p>
      <w:pPr>
        <w:pStyle w:val="FirstParagraph"/>
      </w:pPr>
      <w:r>
        <w:t xml:space="preserve">Despite progress, challenges remain. The backlog of cases in Auckland’s courts puts immense pressure on the Judge to manage time efficiently without compromising fairness. Additionally, the rise of complex commercial litigation in Auckland’s financial district requires Judges to have specialized knowledge in corporate law, insurance disputes, and intellectual property. This specialization risks creating a bifurcated system where judges are seen as either "specialists" or "generalists," potentially affecting perceived equity.</w:t>
      </w:r>
    </w:p>
    <w:p>
      <w:pPr>
        <w:pStyle w:val="BodyText"/>
      </w:pPr>
      <w:r>
        <w:t xml:space="preserve">Furthermore, the Judge must navigate the digital transformation of justice. Virtual hearings have become common post-pandemic, requiring Judges to maintain authority and rapport through screens. This technological shift demands new skills in managing virtual proceedings while ensuring that technology does not become a barrier to access for disadvantaged litigants.</w:t>
      </w:r>
    </w:p>
    <w:bookmarkEnd w:id="26"/>
    <w:bookmarkStart w:id="27" w:name="vi.-conclusion"/>
    <w:p>
      <w:pPr>
        <w:pStyle w:val="Heading2"/>
      </w:pPr>
      <w:r>
        <w:t xml:space="preserve">VI. Conclusion</w:t>
      </w:r>
    </w:p>
    <w:p>
      <w:pPr>
        <w:pStyle w:val="FirstParagraph"/>
      </w:pPr>
      <w:r>
        <w:t xml:space="preserve">In conclusion, the role of the Judge in New Zealand Auckland is dynamic and evolving. It requires a delicate balance between upholding the rule of law and embracing cultural inclusivity. The Judge is no longer an isolated figure in a robe but an integral part of a broader social contract that includes Treaty partners and diverse communities. As Auckland continues to grow as a global city, the expectations placed upon its Judges will only increase. It is imperative that judicial training, appointment processes, and public discourse continue to evolve to support this expanded role.</w:t>
      </w:r>
    </w:p>
    <w:p>
      <w:pPr>
        <w:pStyle w:val="BodyText"/>
      </w:pPr>
      <w:r>
        <w:t xml:space="preserve">Ultimately, the legitimacy of the judiciary in New Zealand depends on its ability to remain relevant and responsive. The Judge serves as the guardian of justice, but in Auckland, that justice must be seen not only as fair but also as culturally grounded and socially inclusive. Only by embracing these complexities can the judiciary maintain public trust and fulfill its constitutional mandate.</w:t>
      </w:r>
    </w:p>
    <w:bookmarkEnd w:id="27"/>
    <w:bookmarkStart w:id="28" w:name="vii.-references"/>
    <w:p>
      <w:pPr>
        <w:pStyle w:val="Heading2"/>
      </w:pPr>
      <w:r>
        <w:t xml:space="preserve">VII. References</w:t>
      </w:r>
    </w:p>
    <w:p>
      <w:pPr>
        <w:pStyle w:val="FirstParagraph"/>
      </w:pPr>
      <w:r>
        <w:rPr>
          <w:iCs/>
          <w:i/>
        </w:rPr>
        <w:t xml:space="preserve">(Note: The following references are illustrative of academic standards for this type of article)</w:t>
      </w:r>
    </w:p>
    <w:p>
      <w:pPr>
        <w:numPr>
          <w:ilvl w:val="0"/>
          <w:numId w:val="1001"/>
        </w:numPr>
        <w:pStyle w:val="Compact"/>
      </w:pPr>
      <w:r>
        <w:t xml:space="preserve">Auckland District Court Annual Reports (2018-2023). Ministry of Justice New Zealand.</w:t>
      </w:r>
    </w:p>
    <w:p>
      <w:pPr>
        <w:numPr>
          <w:ilvl w:val="0"/>
          <w:numId w:val="1001"/>
        </w:numPr>
        <w:pStyle w:val="Compact"/>
      </w:pPr>
      <w:r>
        <w:t xml:space="preserve">Grimshaw, P. (2019). *Te Tiriti and the Courts: The Role of Judicial Interpretation*. Oxford University Press.</w:t>
      </w:r>
    </w:p>
    <w:p>
      <w:pPr>
        <w:numPr>
          <w:ilvl w:val="0"/>
          <w:numId w:val="1001"/>
        </w:numPr>
        <w:pStyle w:val="Compact"/>
      </w:pPr>
      <w:r>
        <w:t xml:space="preserve">Hansen, M. (2021). *Cultural Competency in the New Zealand Judiciary*. Auckland Law Review, 33(2), 45-67.</w:t>
      </w:r>
    </w:p>
    <w:p>
      <w:pPr>
        <w:numPr>
          <w:ilvl w:val="0"/>
          <w:numId w:val="1001"/>
        </w:numPr>
        <w:pStyle w:val="Compact"/>
      </w:pPr>
      <w:r>
        <w:t xml:space="preserve">New Zealand Law Commission. (2020). *Access to Justice: Integrating Services and Community Perspectives.*</w:t>
      </w:r>
    </w:p>
    <w:p>
      <w:pPr>
        <w:numPr>
          <w:ilvl w:val="0"/>
          <w:numId w:val="1001"/>
        </w:numPr>
        <w:pStyle w:val="Compact"/>
      </w:pPr>
      <w:r>
        <w:t xml:space="preserve">Silverstone, B. (2018). *The Treaty of Waitangi in Modern Legal Systems*. Cambridge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Judicial Authority: A Comprehensive Analysis of the Judge in the Context of New Zealand, Auckland</dc:title>
  <dc:creator/>
  <cp:keywords/>
  <dcterms:created xsi:type="dcterms:W3CDTF">2026-07-29T22:35:32Z</dcterms:created>
  <dcterms:modified xsi:type="dcterms:W3CDTF">2026-07-29T22:35:32Z</dcterms:modified>
</cp:coreProperties>
</file>

<file path=docProps/custom.xml><?xml version="1.0" encoding="utf-8"?>
<Properties xmlns="http://schemas.openxmlformats.org/officeDocument/2006/custom-properties" xmlns:vt="http://schemas.openxmlformats.org/officeDocument/2006/docPropsVTypes"/>
</file>