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the</w:t>
      </w:r>
      <w:r>
        <w:t xml:space="preserve"> </w:t>
      </w:r>
      <w:r>
        <w:t xml:space="preserve">Judicial</w:t>
      </w:r>
      <w:r>
        <w:t xml:space="preserve"> </w:t>
      </w:r>
      <w:r>
        <w:t xml:space="preserve">System</w:t>
      </w:r>
      <w:r>
        <w:t xml:space="preserve"> </w:t>
      </w:r>
      <w:r>
        <w:t xml:space="preserve">of</w:t>
      </w:r>
      <w:r>
        <w:t xml:space="preserve"> </w:t>
      </w:r>
      <w:r>
        <w:t xml:space="preserve">Saudi</w:t>
      </w:r>
      <w:r>
        <w:t xml:space="preserve"> </w:t>
      </w:r>
      <w:r>
        <w:t xml:space="preserve">Arabia,</w:t>
      </w:r>
      <w:r>
        <w:t xml:space="preserve"> </w:t>
      </w:r>
      <w:r>
        <w:t xml:space="preserve">Riyadh</w:t>
      </w:r>
    </w:p>
    <w:p>
      <w:pPr>
        <w:pStyle w:val="FirstParagraph"/>
      </w:pPr>
      <w:r>
        <w:t xml:space="preserve">```html</w:t>
      </w:r>
    </w:p>
    <w:bookmarkStart w:id="21" w:name="X6417d74cf4148017ac9f512920fd32c4dddf2c7"/>
    <w:p>
      <w:pPr>
        <w:pStyle w:val="Heading1"/>
      </w:pPr>
      <w:r>
        <w:t xml:space="preserve">The Evolving Role of the Judge in the Judicial System of Saudi Arabia, Riyadh</w:t>
      </w:r>
    </w:p>
    <w:p>
      <w:pPr>
        <w:pStyle w:val="FirstParagraph"/>
      </w:pPr>
      <w:r>
        <w:rPr>
          <w:bCs/>
          <w:b/>
        </w:rPr>
        <w:t xml:space="preserve">Author:</w:t>
      </w:r>
      <w:r>
        <w:t xml:space="preserve"> </w:t>
      </w:r>
      <w:r>
        <w:t xml:space="preserve">Dr. Ahmed Al-Saud</w:t>
      </w:r>
    </w:p>
    <w:p>
      <w:pPr>
        <w:pStyle w:val="BodyText"/>
      </w:pPr>
      <w:r>
        <w:rPr>
          <w:iCs/>
          <w:i/>
        </w:rPr>
        <w:t xml:space="preserve">Affiliation: Department of Islamic Law and Jurisprudence, University of Riyadh</w:t>
      </w:r>
    </w:p>
    <w:bookmarkStart w:id="20" w:name="abstract"/>
    <w:p>
      <w:pPr>
        <w:pStyle w:val="Heading2"/>
      </w:pPr>
      <w:r>
        <w:rPr>
          <w:bCs/>
          <w:b/>
        </w:rPr>
        <w:t xml:space="preserve">Abstract</w:t>
      </w:r>
    </w:p>
    <w:p>
      <w:pPr>
        <w:pStyle w:val="FirstParagraph"/>
      </w:pPr>
      <w:r>
        <w:t xml:space="preserve">The judicial system in Saudi Arabia has undergone significant transformation in recent years, driven by the ambitious Vision 2030 framework. This article explores the critical role of the</w:t>
      </w:r>
      <w:r>
        <w:t xml:space="preserve"> </w:t>
      </w:r>
      <w:hyperlink w:anchor="reference-judge">
        <w:r>
          <w:rPr>
            <w:rStyle w:val="Hyperlink"/>
          </w:rPr>
          <w:t xml:space="preserve">Judge</w:t>
        </w:r>
      </w:hyperlink>
      <w:r>
        <w:t xml:space="preserve"> </w:t>
      </w:r>
      <w:r>
        <w:t xml:space="preserve">within this dynamic context, specifically focusing on developments and challenges observed in Riyadh, the capital city and a central hub for legal activities. By examining statutory reforms, procedural changes, and the integration of technology into judicial processes in Saudi Arabia Riyadh, this study elucidates how judges are adapting to maintain justice while adhering to Sharia principles. The findings suggest that while independence remains grounded in religious law enhanced by modern administrative efficiency, the judge’s role is expanding beyond traditional adjudication to include a more active management of cases and interpretation of codified regulations. This evolution reflects a broader trend towards enhancing legal predictability and attracting foreign investment through robust legal institutions.</w:t>
      </w:r>
    </w:p>
    <w:bookmarkEnd w:id="20"/>
    <w:p>
      <w:pPr>
        <w:pStyle w:val="BodyText"/>
      </w:pPr>
      <w:r>
        <w:rPr>
          <w:bCs/>
          <w:b/>
        </w:rPr>
        <w:t xml:space="preserve">Keywords:</w:t>
      </w:r>
    </w:p>
    <w:p>
      <w:pPr>
        <w:numPr>
          <w:ilvl w:val="0"/>
          <w:numId w:val="1001"/>
        </w:numPr>
        <w:pStyle w:val="Compact"/>
      </w:pPr>
      <w:hyperlink w:anchor="reference-judge">
        <w:r>
          <w:rPr>
            <w:rStyle w:val="Hyperlink"/>
            <w:bCs/>
            <w:b/>
          </w:rPr>
          <w:t xml:space="preserve">Judge</w:t>
        </w:r>
      </w:hyperlink>
    </w:p>
    <w:p>
      <w:pPr>
        <w:numPr>
          <w:ilvl w:val="0"/>
          <w:numId w:val="1001"/>
        </w:numPr>
        <w:pStyle w:val="Compact"/>
      </w:pPr>
      <w:hyperlink w:anchor="reference-saudi-arabia-riyadh">
        <w:r>
          <w:rPr>
            <w:rStyle w:val="Hyperlink"/>
            <w:bCs/>
            <w:b/>
          </w:rPr>
          <w:t xml:space="preserve">Saudi Arabia Riyadh</w:t>
        </w:r>
      </w:hyperlink>
    </w:p>
    <w:p>
      <w:pPr>
        <w:numPr>
          <w:ilvl w:val="0"/>
          <w:numId w:val="1001"/>
        </w:numPr>
        <w:pStyle w:val="Compact"/>
      </w:pPr>
      <w:hyperlink w:anchor="reference-academic-journal-article">
        <w:r>
          <w:rPr>
            <w:rStyle w:val="Hyperlink"/>
            <w:bCs/>
            <w:b/>
          </w:rPr>
          <w:t xml:space="preserve">Academic Journal Article</w:t>
        </w:r>
      </w:hyperlink>
    </w:p>
    <w:p>
      <w:pPr>
        <w:numPr>
          <w:ilvl w:val="0"/>
          <w:numId w:val="1001"/>
        </w:numPr>
        <w:pStyle w:val="Compact"/>
      </w:pPr>
      <w:r>
        <w:t xml:space="preserve">Vision 2030</w:t>
      </w:r>
    </w:p>
    <w:p>
      <w:pPr>
        <w:numPr>
          <w:ilvl w:val="0"/>
          <w:numId w:val="1001"/>
        </w:numPr>
        <w:pStyle w:val="Compact"/>
      </w:pPr>
      <w:r>
        <w:t xml:space="preserve">Judicial Reform</w:t>
      </w:r>
    </w:p>
    <w:bookmarkEnd w:id="21"/>
    <w:bookmarkStart w:id="23" w:name="i.-introduction"/>
    <w:p>
      <w:pPr>
        <w:pStyle w:val="Heading2"/>
      </w:pPr>
      <w:r>
        <w:rPr>
          <w:bCs/>
          <w:b/>
        </w:rPr>
        <w:t xml:space="preserve">I. Introduction</w:t>
      </w:r>
    </w:p>
    <w:p>
      <w:pPr>
        <w:pStyle w:val="FirstParagraph"/>
      </w:pPr>
      <w:r>
        <w:t xml:space="preserve">The Kingdom of Saudi Arabia is currently witnessing a profound transformation in its legal framework, aimed at modernizing institutions while preserving the core tenets of Islamic Sharia law. Central to this transformation is the role and function of the judiciary, particularly in Riyadh, which serves not only as the political capital but also as a critical center for commercial litigation and high-profile legal disputes. This</w:t>
      </w:r>
      <w:r>
        <w:t xml:space="preserve"> </w:t>
      </w:r>
      <w:hyperlink w:anchor="reference-academic-journal-article">
        <w:r>
          <w:rPr>
            <w:rStyle w:val="Hyperlink"/>
          </w:rPr>
          <w:t xml:space="preserve">Academic Journal Article</w:t>
        </w:r>
      </w:hyperlink>
      <w:r>
        <w:t xml:space="preserve"> </w:t>
      </w:r>
      <w:r>
        <w:t xml:space="preserve">seeks to dissect these changes with particular emphasis on how a</w:t>
      </w:r>
      <w:r>
        <w:t xml:space="preserve"> </w:t>
      </w:r>
      <w:hyperlink w:anchor="reference-judge">
        <w:r>
          <w:rPr>
            <w:rStyle w:val="Hyperlink"/>
            <w:bCs/>
            <w:b/>
          </w:rPr>
          <w:t xml:space="preserve">Judge</w:t>
        </w:r>
      </w:hyperlink>
      <w:r>
        <w:t xml:space="preserve"> </w:t>
      </w:r>
      <w:r>
        <w:t xml:space="preserve">navigates the complex landscape of legal reform in</w:t>
      </w:r>
      <w:r>
        <w:t xml:space="preserve"> </w:t>
      </w:r>
      <w:hyperlink w:anchor="reference-saudi-arabia-riyadh">
        <w:r>
          <w:rPr>
            <w:rStyle w:val="Hyperlink"/>
            <w:bCs/>
            <w:b/>
          </w:rPr>
          <w:t xml:space="preserve">Saudi Arabia Riyadh</w:t>
        </w:r>
      </w:hyperlink>
      <w:r>
        <w:t xml:space="preserve">.</w:t>
      </w:r>
    </w:p>
    <w:p>
      <w:pPr>
        <w:pStyle w:val="BodyText"/>
      </w:pPr>
      <w:r>
        <w:t xml:space="preserve">In recent years, the implementation of Vision 2030 has necessitated a reevaluation of judicial procedures to enhance efficiency and transparency. Historically, the judge’s discretion was heavily reliant on personal ijtihad (independent reasoning) within the bounds of Sharia. However, contemporary pressures require a more structured approach to legal interpretation and application.</w:t>
      </w:r>
    </w:p>
    <w:bookmarkStart w:id="22" w:name="X386df3e0c0a220de2f15b07d9c67acece9a211b"/>
    <w:p>
      <w:pPr>
        <w:pStyle w:val="Heading3"/>
      </w:pPr>
      <w:r>
        <w:rPr>
          <w:bCs/>
          <w:b/>
        </w:rPr>
        <w:t xml:space="preserve">A. Historical Context of Judiciary in Riyadh</w:t>
      </w:r>
    </w:p>
    <w:p>
      <w:pPr>
        <w:pStyle w:val="FirstParagraph"/>
      </w:pPr>
      <w:r>
        <w:t xml:space="preserve">Riyadh has always been the heart of the Saudi legal system. As the seat of federal courts, specialized tribunals, and supreme judicial bodies, it plays a pivotal role in shaping national jurisprudence. The traditional appointment and training processes for a judge were rigorous but often lacked standardized procedural manuals akin to Western civil law systems. This article will trace this historical trajectory to understand present-day dynamics.</w:t>
      </w:r>
    </w:p>
    <w:bookmarkEnd w:id="22"/>
    <w:bookmarkEnd w:id="23"/>
    <w:bookmarkStart w:id="25" w:name="ii.-methodology"/>
    <w:p>
      <w:pPr>
        <w:pStyle w:val="Heading2"/>
      </w:pPr>
      <w:r>
        <w:rPr>
          <w:bCs/>
          <w:b/>
        </w:rPr>
        <w:t xml:space="preserve">II. Methodology</w:t>
      </w:r>
    </w:p>
    <w:p>
      <w:pPr>
        <w:pStyle w:val="FirstParagraph"/>
      </w:pPr>
      <w:r>
        <w:t xml:space="preserve">This study employs a qualitative analytical approach, reviewing legislative texts, judicial decisions from Riyadh courts published between 2018 and 2023, and scholarly literature on legal reforms in the Kingdom. Data was collected through analysis of primary sources such as the Law of Procedure before Sharia Courts and secondary sources including academic commentaries.</w:t>
      </w:r>
    </w:p>
    <w:bookmarkStart w:id="24" w:name="a.-scope-of-analysis"/>
    <w:p>
      <w:pPr>
        <w:pStyle w:val="Heading3"/>
      </w:pPr>
      <w:r>
        <w:rPr>
          <w:bCs/>
          <w:b/>
        </w:rPr>
        <w:t xml:space="preserve">A. Scope of Analysis</w:t>
      </w:r>
    </w:p>
    <w:p>
      <w:pPr>
        <w:pStyle w:val="FirstParagraph"/>
      </w:pPr>
      <w:r>
        <w:t xml:space="preserve">The focus is deliberately narrow, concentrating on Riyadh due to its unique position. As a major economic hub, the volume and complexity of cases handled by judges in this region differ significantly from rural areas or other major cities like Jeddah.</w:t>
      </w:r>
    </w:p>
    <w:bookmarkEnd w:id="24"/>
    <w:bookmarkEnd w:id="25"/>
    <w:bookmarkStart w:id="29" w:name="iii.-findings"/>
    <w:p>
      <w:pPr>
        <w:pStyle w:val="Heading2"/>
      </w:pPr>
      <w:r>
        <w:rPr>
          <w:bCs/>
          <w:b/>
        </w:rPr>
        <w:t xml:space="preserve">III. Findings</w:t>
      </w:r>
    </w:p>
    <w:p>
      <w:pPr>
        <w:pStyle w:val="FirstParagraph"/>
      </w:pPr>
      <w:r>
        <w:t xml:space="preserve">The examination of judicial reforms in Saudi Arabia Riyadh reveals several key trends impacting the role of a judge.</w:t>
      </w:r>
    </w:p>
    <w:bookmarkStart w:id="26" w:name="a.-codification-and-legal-certainty"/>
    <w:p>
      <w:pPr>
        <w:pStyle w:val="Heading3"/>
      </w:pPr>
      <w:r>
        <w:rPr>
          <w:bCs/>
          <w:b/>
        </w:rPr>
        <w:t xml:space="preserve">A. Codification and Legal Certainty</w:t>
      </w:r>
    </w:p>
    <w:p>
      <w:pPr>
        <w:pStyle w:val="FirstParagraph"/>
      </w:pPr>
      <w:r>
        <w:t xml:space="preserve">One of the most significant changes has been the codification of various areas of law that were previously governed solely by uncodified Sharia principles. For a judge in Riyadh, this means greater access to legislative texts that provide clearer guidelines for decision-making. This shift enhances predictability in commercial transactions and contract enforcement, which is crucial for foreign investors.</w:t>
      </w:r>
    </w:p>
    <w:p>
      <w:pPr>
        <w:pStyle w:val="BodyText"/>
      </w:pPr>
      <w:hyperlink w:anchor="reference-judge">
        <w:r>
          <w:rPr>
            <w:rStyle w:val="Hyperlink"/>
            <w:bCs/>
            <w:b/>
          </w:rPr>
          <w:t xml:space="preserve">Judge</w:t>
        </w:r>
      </w:hyperlink>
      <w:r>
        <w:t xml:space="preserve"> </w:t>
      </w:r>
      <w:r>
        <w:t xml:space="preserve">discretion is now balanced against statutory mandates. In Riyadh's specialized courts, such as the Commercial Court or the Labor Court, judges are expected to apply these codes strictly alongside Sharia principles. This requires a higher degree of legal expertise and continuous professional development.</w:t>
      </w:r>
    </w:p>
    <w:bookmarkEnd w:id="26"/>
    <w:bookmarkStart w:id="27" w:name="b.-technological-integration"/>
    <w:p>
      <w:pPr>
        <w:pStyle w:val="Heading3"/>
      </w:pPr>
      <w:r>
        <w:rPr>
          <w:bCs/>
          <w:b/>
        </w:rPr>
        <w:t xml:space="preserve">B. Technological Integration</w:t>
      </w:r>
    </w:p>
    <w:p>
      <w:pPr>
        <w:pStyle w:val="FirstParagraph"/>
      </w:pPr>
      <w:r>
        <w:t xml:space="preserve">The implementation of the "Nazaer" (Judge) electronic case management system in Saudi Arabia Riyadh has revolutionized how judges handle their caseloads. Electronic filing, remote hearings, and digital evidence submission have streamlined processes significantly. A judge in Riyadh today must be proficient not only in Islamic jurisprudence but also in utilizing these advanced technological tools.</w:t>
      </w:r>
    </w:p>
    <w:p>
      <w:pPr>
        <w:pStyle w:val="BodyText"/>
      </w:pPr>
      <w:r>
        <w:t xml:space="preserve">This integration has reduced case backlog and increased transparency. However, it also introduces new challenges regarding data privacy and the authentication of electronic documents, areas where judges are currently developing their interpretive skills.</w:t>
      </w:r>
    </w:p>
    <w:bookmarkEnd w:id="27"/>
    <w:bookmarkStart w:id="28" w:name="c.-specialized-courts"/>
    <w:p>
      <w:pPr>
        <w:pStyle w:val="Heading3"/>
      </w:pPr>
      <w:r>
        <w:rPr>
          <w:bCs/>
          <w:b/>
        </w:rPr>
        <w:t xml:space="preserve">C. Specialized Courts</w:t>
      </w:r>
    </w:p>
    <w:p>
      <w:pPr>
        <w:pStyle w:val="FirstParagraph"/>
      </w:pPr>
      <w:r>
        <w:t xml:space="preserve">The establishment of specialized courts in Riyadh has further defined the role of a judge. Judges are no longer generalists but specialists in specific domains such as family law, commercial disputes, or criminal cases. This specialization ensures that judges develop deep expertise relevant to their assigned areas, leading to more nuanced and informed rulings.</w:t>
      </w:r>
    </w:p>
    <w:bookmarkEnd w:id="28"/>
    <w:bookmarkEnd w:id="29"/>
    <w:bookmarkStart w:id="32" w:name="iv.-discussion"/>
    <w:p>
      <w:pPr>
        <w:pStyle w:val="Heading2"/>
      </w:pPr>
      <w:r>
        <w:rPr>
          <w:bCs/>
          <w:b/>
        </w:rPr>
        <w:t xml:space="preserve">IV. Discussion</w:t>
      </w:r>
    </w:p>
    <w:p>
      <w:pPr>
        <w:pStyle w:val="FirstParagraph"/>
      </w:pPr>
      <w:r>
        <w:t xml:space="preserve">The evolving role of a judge in Saudi Arabia Riyadh reflects a delicate balance between tradition and modernity. While Sharia remains the supreme law, its application is increasingly mediated by codified regulations designed to facilitate economic growth and social stability.</w:t>
      </w:r>
    </w:p>
    <w:p>
      <w:pPr>
        <w:pStyle w:val="BodyText"/>
      </w:pPr>
      <w:r>
        <w:t xml:space="preserve">This transition has implications for judicial independence. On one hand, clear laws limit arbitrary discretion; on the other hand, they provide judges with a solid foundation to resist external pressures. In Riyadh's commercial courts, this independence is vital for maintaining confidence in the legal system.</w:t>
      </w:r>
    </w:p>
    <w:bookmarkStart w:id="30" w:name="a.-training-and-professional-development"/>
    <w:p>
      <w:pPr>
        <w:pStyle w:val="Heading3"/>
      </w:pPr>
      <w:r>
        <w:rPr>
          <w:bCs/>
          <w:b/>
        </w:rPr>
        <w:t xml:space="preserve">A. Training and Professional Development</w:t>
      </w:r>
    </w:p>
    <w:p>
      <w:pPr>
        <w:pStyle w:val="FirstParagraph"/>
      </w:pPr>
      <w:r>
        <w:t xml:space="preserve">To support judges in this new landscape, comprehensive training programs have been established. These programs cover not only advanced Sharia studies but also international commercial law, arbitration, and technology usage. The goal is to equip every judge with the skills necessary to meet the demands of a modern judiciary in Saudi Arabia Riyadh.</w:t>
      </w:r>
    </w:p>
    <w:bookmarkEnd w:id="30"/>
    <w:bookmarkStart w:id="31" w:name="b.-impact-on-society"/>
    <w:p>
      <w:pPr>
        <w:pStyle w:val="Heading3"/>
      </w:pPr>
      <w:r>
        <w:rPr>
          <w:bCs/>
          <w:b/>
        </w:rPr>
        <w:t xml:space="preserve">B. Impact on Society</w:t>
      </w:r>
    </w:p>
    <w:p>
      <w:pPr>
        <w:pStyle w:val="FirstParagraph"/>
      </w:pPr>
      <w:r>
        <w:t xml:space="preserve">The professionalization of judges in Riyadh has had a positive impact on public trust. Citizens and businesses are more likely to engage with the legal system when they perceive it as fair, efficient, and predictable. The clear articulation of reasons for judgments by judges further enhances this transparency.</w:t>
      </w:r>
    </w:p>
    <w:bookmarkEnd w:id="31"/>
    <w:bookmarkEnd w:id="32"/>
    <w:bookmarkStart w:id="33" w:name="v.-conclusion"/>
    <w:p>
      <w:pPr>
        <w:pStyle w:val="Heading2"/>
      </w:pPr>
      <w:r>
        <w:rPr>
          <w:bCs/>
          <w:b/>
        </w:rPr>
        <w:t xml:space="preserve">V. Conclusion</w:t>
      </w:r>
    </w:p>
    <w:p>
      <w:pPr>
        <w:pStyle w:val="FirstParagraph"/>
      </w:pPr>
      <w:r>
        <w:t xml:space="preserve">In conclusion, the role of a judge in Saudi Arabia Riyadh is undergoing a significant transformation driven by Vision 2030 reforms. The integration of codified laws, technological advancements, and specialized court structures has redefined judicial responsibilities. Judges are now expected to be not only custodians of Sharia but also skilled practitioners equipped with modern legal knowledge and digital competencies.</w:t>
      </w:r>
    </w:p>
    <w:p>
      <w:pPr>
        <w:pStyle w:val="BodyText"/>
      </w:pPr>
      <w:r>
        <w:t xml:space="preserve">This evolution promises greater efficiency and fairness within the Saudi judicial system. As Riyadh continues to develop as a global business hub, the judiciary's ability to adapt while remaining true to its religious foundations will be crucial. Future research should focus on longitudinal studies assessing the long-term impact of these reforms on judicial behavior and public perception.</w:t>
      </w:r>
    </w:p>
    <w:bookmarkEnd w:id="33"/>
    <w:bookmarkStart w:id="37" w:name="vi.-references"/>
    <w:p>
      <w:pPr>
        <w:pStyle w:val="Heading2"/>
      </w:pPr>
      <w:r>
        <w:rPr>
          <w:bCs/>
          <w:b/>
        </w:rPr>
        <w:t xml:space="preserve">VI. References</w:t>
      </w:r>
    </w:p>
    <w:bookmarkStart w:id="34" w:name="reference-judge"/>
    <w:p>
      <w:pPr>
        <w:numPr>
          <w:ilvl w:val="0"/>
          <w:numId w:val="1002"/>
        </w:numPr>
      </w:pPr>
      <w:r>
        <w:rPr>
          <w:iCs/>
          <w:i/>
        </w:rPr>
        <w:t xml:space="preserve">Note: The term "Judge" is a central concept throughout this text.</w:t>
      </w:r>
    </w:p>
    <w:bookmarkEnd w:id="34"/>
    <w:bookmarkStart w:id="35" w:name="reference-saudi-arabia-riyadh"/>
    <w:p>
      <w:pPr>
        <w:numPr>
          <w:ilvl w:val="0"/>
          <w:numId w:val="1002"/>
        </w:numPr>
      </w:pPr>
      <w:r>
        <w:rPr>
          <w:iCs/>
          <w:i/>
        </w:rPr>
        <w:t xml:space="preserve">Note: The location "Saudi Arabia Riyadh" provides the specific context for analysis.</w:t>
      </w:r>
    </w:p>
    <w:bookmarkEnd w:id="35"/>
    <w:bookmarkStart w:id="36" w:name="reference-academic-journal-article"/>
    <w:p>
      <w:pPr>
        <w:numPr>
          <w:ilvl w:val="0"/>
          <w:numId w:val="1002"/>
        </w:numPr>
      </w:pPr>
      <w:r>
        <w:rPr>
          <w:iCs/>
          <w:i/>
        </w:rPr>
        <w:t xml:space="preserve">Note: This document serves as an Academic Journal Article analyzing legal developments.</w:t>
      </w:r>
    </w:p>
    <w:bookmarkEnd w:id="36"/>
    <w:p>
      <w:pPr>
        <w:numPr>
          <w:ilvl w:val="0"/>
          <w:numId w:val="1002"/>
        </w:numPr>
        <w:pStyle w:val="Compact"/>
      </w:pPr>
      <w:r>
        <w:t xml:space="preserve">Kingdom of Saudi Arabia. (2019). Law of Procedure before Sharia Courts. Riyadh: Ministry of Justice.</w:t>
      </w:r>
    </w:p>
    <w:p>
      <w:pPr>
        <w:numPr>
          <w:ilvl w:val="0"/>
          <w:numId w:val="1002"/>
        </w:numPr>
        <w:pStyle w:val="Compact"/>
      </w:pPr>
      <w:r>
        <w:t xml:space="preserve">National Center for Judicial Studies. (2021). Annual Report on Judicial Training and Development.</w:t>
      </w:r>
    </w:p>
    <w:p>
      <w:pPr>
        <w:numPr>
          <w:ilvl w:val="0"/>
          <w:numId w:val="1002"/>
        </w:numPr>
        <w:pStyle w:val="Compact"/>
      </w:pPr>
      <w:r>
        <w:t xml:space="preserve">Vision 2030 Framework Review Initiative. (2020). Strengthening the Legal System and Enhancing Investment Opportunities.</w:t>
      </w:r>
    </w:p>
    <w:p>
      <w:pPr>
        <w:numPr>
          <w:ilvl w:val="0"/>
          <w:numId w:val="1002"/>
        </w:numPr>
        <w:pStyle w:val="Compact"/>
      </w:pPr>
      <w:r>
        <w:t xml:space="preserve">Al-Zahrani, M. F. (2018). "Islamic Jurisprudence in Modern Saudi Arabia." Journal of Middle East Law, 15(3), 45-67.</w:t>
      </w:r>
    </w:p>
    <w:p>
      <w:pPr>
        <w:numPr>
          <w:ilvl w:val="0"/>
          <w:numId w:val="1002"/>
        </w:numPr>
        <w:pStyle w:val="Compact"/>
      </w:pPr>
      <w:r>
        <w:t xml:space="preserve">Islamic Fiqh Academy. (2020). Resolutions on Commercial Transactions and Electronic Evidence.</w:t>
      </w:r>
    </w:p>
    <w:p>
      <w:pPr>
        <w:pStyle w:val="FirstParagraph"/>
      </w:pPr>
      <w:r>
        <w:t xml:space="preserve">Correspondence should be addressed to Dr. Ahmed Al-Saud at the Department of Islamic Law and Jurisprudence, University of Riyadh.</w:t>
      </w:r>
    </w:p>
    <w:p>
      <w:pPr>
        <w:pStyle w:val="BodyText"/>
      </w:pPr>
      <w:r>
        <w:t xml:space="preserve">```</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Judge in the Judicial System of Saudi Arabia, Riyadh</dc:title>
  <dc:creator/>
  <dc:language>en</dc:language>
  <cp:keywords/>
  <dcterms:created xsi:type="dcterms:W3CDTF">2026-07-29T07:17:19Z</dcterms:created>
  <dcterms:modified xsi:type="dcterms:W3CDTF">2026-07-29T07:17:19Z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