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Authority</w:t>
      </w:r>
      <w:r>
        <w:t xml:space="preserve"> </w:t>
      </w:r>
      <w:r>
        <w:t xml:space="preserve">in</w:t>
      </w:r>
      <w:r>
        <w:t xml:space="preserve"> </w:t>
      </w:r>
      <w:r>
        <w:t xml:space="preserve">the</w:t>
      </w:r>
      <w:r>
        <w:t xml:space="preserve"> </w:t>
      </w:r>
      <w:r>
        <w:t xml:space="preserve">Bolivarian</w:t>
      </w:r>
      <w:r>
        <w:t xml:space="preserve"> </w:t>
      </w:r>
      <w:r>
        <w:t xml:space="preserve">Republic: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Judges</w:t>
      </w:r>
      <w:r>
        <w:t xml:space="preserve"> </w:t>
      </w:r>
      <w:r>
        <w:t xml:space="preserve">in</w:t>
      </w:r>
      <w:r>
        <w:t xml:space="preserve"> </w:t>
      </w:r>
      <w:r>
        <w:t xml:space="preserve">Venezuela,</w:t>
      </w:r>
      <w:r>
        <w:t xml:space="preserve"> </w:t>
      </w:r>
      <w:r>
        <w:t xml:space="preserve">Caracas</w:t>
      </w:r>
    </w:p>
    <w:bookmarkStart w:id="28" w:name="Xd660eb61a702d4e17f5cd51eb67d8914b4a39df"/>
    <w:p>
      <w:pPr>
        <w:pStyle w:val="Heading1"/>
      </w:pPr>
      <w:r>
        <w:t xml:space="preserve">The Evolution of Judicial Authority in the Bolivarian Republic: A Critical Analysis of the Role of Judges in Venezuela, Caracas</w:t>
      </w:r>
    </w:p>
    <w:p>
      <w:pPr>
        <w:pStyle w:val="FirstParagraph"/>
      </w:pPr>
      <w:r>
        <w:rPr>
          <w:bCs/>
          <w:b/>
        </w:rPr>
        <w:t xml:space="preserve">Author:</w:t>
      </w:r>
      <w:r>
        <w:br/>
      </w:r>
      <w:r>
        <w:t xml:space="preserve">Juan Carlos Rodríguez</w:t>
      </w:r>
      <w:r>
        <w:br/>
      </w:r>
      <w:r>
        <w:t xml:space="preserve">Distinguished Professor of Constitutional Law</w:t>
      </w:r>
      <w:r>
        <w:br/>
      </w:r>
      <w:r>
        <w:t xml:space="preserve">Institute for Latin American Jurisprudence</w:t>
      </w:r>
      <w:r>
        <w:br/>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profound transformation of the judiciary in Venezuela, with a specific focus on Caracas as the epicenter of political and legal developments. By analyzing recent constitutional reforms, legislative acts, and sociopolitical shifts since 1999, this study explores how the role of the</w:t>
      </w:r>
      <w:r>
        <w:t xml:space="preserve"> </w:t>
      </w:r>
      <w:r>
        <w:rPr>
          <w:bCs/>
          <w:b/>
        </w:rPr>
        <w:t xml:space="preserve">Judge</w:t>
      </w:r>
      <w:r>
        <w:t xml:space="preserve"> </w:t>
      </w:r>
      <w:r>
        <w:t xml:space="preserve">has evolved from an independent arbiter to an instrument of state policy. The paper argues that while the 1999 Constitution nominally guarantees judicial independence, the practical application of law in</w:t>
      </w:r>
      <w:r>
        <w:t xml:space="preserve"> </w:t>
      </w:r>
      <w:r>
        <w:rPr>
          <w:bCs/>
          <w:b/>
        </w:rPr>
        <w:t xml:space="preserve">Venezuela Caracas</w:t>
      </w:r>
      <w:r>
        <w:t xml:space="preserve"> </w:t>
      </w:r>
      <w:r>
        <w:t xml:space="preserve">reveals a system deeply integrated into the executive branch's ideological framework. Through qualitative analysis of case law and institutional structures, this article highlights the challenges facing legal practitioners and scholars in understanding justice within this unique political context.</w:t>
      </w:r>
    </w:p>
    <w:bookmarkEnd w:id="20"/>
    <w:bookmarkStart w:id="21" w:name="X47c026ff7be776f13fb501ca8fb6ee9c18c9476"/>
    <w:p>
      <w:pPr>
        <w:pStyle w:val="Heading2"/>
      </w:pPr>
      <w:r>
        <w:t xml:space="preserve">I. Introduction: The Judicial Landscape in Contemporary Venezuela</w:t>
      </w:r>
    </w:p>
    <w:p>
      <w:pPr>
        <w:pStyle w:val="FirstParagraph"/>
      </w:pPr>
      <w:r>
        <w:t xml:space="preserve">The administration of justice is a cornerstone of any democratic society, serving as the primary mechanism for conflict resolution and the protection of human rights. However, in</w:t>
      </w:r>
      <w:r>
        <w:t xml:space="preserve"> </w:t>
      </w:r>
      <w:r>
        <w:rPr>
          <w:bCs/>
          <w:b/>
        </w:rPr>
        <w:t xml:space="preserve">Venezuela Caracas</w:t>
      </w:r>
      <w:r>
        <w:t xml:space="preserve">, the judicial landscape has undergone radical changes that distinguish it from traditional Western models of jurisprudence. The establishment of the Bolivarian Republic marked a paradigm shift not only in economic policy but also in constitutional interpretation. Central to this shift is the redefinition of the</w:t>
      </w:r>
      <w:r>
        <w:t xml:space="preserve"> </w:t>
      </w:r>
      <w:r>
        <w:rPr>
          <w:bCs/>
          <w:b/>
        </w:rPr>
        <w:t xml:space="preserve">Judge</w:t>
      </w:r>
      <w:r>
        <w:t xml:space="preserve">’s function within the state apparatus.</w:t>
      </w:r>
    </w:p>
    <w:p>
      <w:pPr>
        <w:pStyle w:val="BodyText"/>
      </w:pPr>
      <w:r>
        <w:t xml:space="preserve">In many legal systems, judges are expected to act as neutral referees, applying statutes impartially regardless of political pressure. In contrast, contemporary Venezuelan jurisprudence emphasizes a "social" function of law that aligns closely with the tenets of 21st-century socialism. This article posits that for students and practitioners analyzing</w:t>
      </w:r>
      <w:r>
        <w:t xml:space="preserve"> </w:t>
      </w:r>
      <w:r>
        <w:rPr>
          <w:bCs/>
          <w:b/>
        </w:rPr>
        <w:t xml:space="preserve">Venezuela Caracas</w:t>
      </w:r>
      <w:r>
        <w:t xml:space="preserve">, understanding this ideological alignment is crucial to comprehending how judicial decisions are rendered today. The disconnect between formal constitutional guarantees and practical judicial behavior creates a complex environment for legal scholarship.</w:t>
      </w:r>
    </w:p>
    <w:bookmarkEnd w:id="21"/>
    <w:bookmarkStart w:id="22" w:name="X12279fbdb828ce630191b51460193634655a77d"/>
    <w:p>
      <w:pPr>
        <w:pStyle w:val="Heading2"/>
      </w:pPr>
      <w:r>
        <w:t xml:space="preserve">II. Constitutional Frameworks and the Mandate of Independence</w:t>
      </w:r>
    </w:p>
    <w:p>
      <w:pPr>
        <w:pStyle w:val="FirstParagraph"/>
      </w:pPr>
      <w:r>
        <w:t xml:space="preserve">The 1999 Constitution of the Bolivarian Republic of Venezuela introduced significant changes to the structure of government, including an expanded Bill of Rights. Articles 253 through 265 outline the judiciary’s role, explicitly stating that judges are subject only to the Constitution and laws. On paper, this suggests a robust framework for judicial independence in</w:t>
      </w:r>
      <w:r>
        <w:t xml:space="preserve"> </w:t>
      </w:r>
      <w:r>
        <w:rPr>
          <w:bCs/>
          <w:b/>
        </w:rPr>
        <w:t xml:space="preserve">Venezuela Caracas</w:t>
      </w:r>
      <w:r>
        <w:t xml:space="preserve">. The Supreme Tribunal of Justice (TSJ), located in the capital, was intended to serve as the guardian of constitutional order.</w:t>
      </w:r>
    </w:p>
    <w:p>
      <w:pPr>
        <w:pStyle w:val="BodyText"/>
      </w:pPr>
      <w:r>
        <w:t xml:space="preserve">However, academic analysis reveals a discrepancy between text and practice. The mechanism for appointing judges and magistrates involves significant political input from legislative bodies that have historically been dominated by the executive's ruling party. Consequently, the</w:t>
      </w:r>
      <w:r>
        <w:t xml:space="preserve"> </w:t>
      </w:r>
      <w:r>
        <w:rPr>
          <w:bCs/>
          <w:b/>
        </w:rPr>
        <w:t xml:space="preserve">Judge</w:t>
      </w:r>
      <w:r>
        <w:t xml:space="preserve"> </w:t>
      </w:r>
      <w:r>
        <w:t xml:space="preserve">in Venezuela often finds themselves operating within a system where loyalty to the revolutionary project is implicitly valued alongside adherence to legal procedure. This dual expectation creates tension for those attempting to uphold strict legalism while navigating political realities.</w:t>
      </w:r>
    </w:p>
    <w:bookmarkEnd w:id="22"/>
    <w:bookmarkStart w:id="23" w:name="Xa565cc9efaa3fab08bf22e14a72377082136d24"/>
    <w:p>
      <w:pPr>
        <w:pStyle w:val="Heading2"/>
      </w:pPr>
      <w:r>
        <w:t xml:space="preserve">III. The Politicization of Justice in Caracas</w:t>
      </w:r>
    </w:p>
    <w:p>
      <w:pPr>
        <w:pStyle w:val="FirstParagraph"/>
      </w:pPr>
      <w:r>
        <w:t xml:space="preserve">Caracas, as the seat of federal power, serves as the stage for most high-profile judicial proceedings. In recent decades, critics have argued that the judiciary has become a tool for consolidating executive power rather than checking it. For instance, administrative lawsuits against government policies or decisions regarding property rights often yield outcomes favoring state interests. This trend raises serious questions about the rule of law in</w:t>
      </w:r>
      <w:r>
        <w:t xml:space="preserve"> </w:t>
      </w:r>
      <w:r>
        <w:rPr>
          <w:bCs/>
          <w:b/>
        </w:rPr>
        <w:t xml:space="preserve">Venezuela Caracas</w:t>
      </w:r>
      <w:r>
        <w:t xml:space="preserve">.</w:t>
      </w:r>
    </w:p>
    <w:p>
      <w:pPr>
        <w:pStyle w:val="BodyText"/>
      </w:pPr>
      <w:r>
        <w:t xml:space="preserve">The role of the</w:t>
      </w:r>
      <w:r>
        <w:t xml:space="preserve"> </w:t>
      </w:r>
      <w:r>
        <w:rPr>
          <w:bCs/>
          <w:b/>
        </w:rPr>
        <w:t xml:space="preserve">Judge</w:t>
      </w:r>
      <w:r>
        <w:t xml:space="preserve"> </w:t>
      </w:r>
      <w:r>
        <w:t xml:space="preserve">has thus shifted from one of impartial adjudication to one that considers broader political stability and ideological alignment. Legal scholars note that this shift affects not only criminal and administrative cases but also commercial litigation, impacting foreign investment and domestic economic activity. The unpredictability introduced by politically motivated rulings undermines legal certainty, a fundamental principle required for a functioning market economy.</w:t>
      </w:r>
    </w:p>
    <w:bookmarkEnd w:id="23"/>
    <w:bookmarkStart w:id="24" w:name="Xeef512934ef1fb0b4f5a9c0733cbb319b671cad"/>
    <w:p>
      <w:pPr>
        <w:pStyle w:val="Heading2"/>
      </w:pPr>
      <w:r>
        <w:t xml:space="preserve">IV. Challenges to Judicial Reform and Academic Study</w:t>
      </w:r>
    </w:p>
    <w:p>
      <w:pPr>
        <w:pStyle w:val="FirstParagraph"/>
      </w:pPr>
      <w:r>
        <w:t xml:space="preserve">The transformation of the judiciary presents significant challenges for academic inquiry within</w:t>
      </w:r>
      <w:r>
        <w:t xml:space="preserve"> </w:t>
      </w:r>
      <w:r>
        <w:rPr>
          <w:bCs/>
          <w:b/>
        </w:rPr>
        <w:t xml:space="preserve">Venezuela Caracas</w:t>
      </w:r>
      <w:r>
        <w:t xml:space="preserve">. Legal education institutions must navigate sensitive topics regarding judicial ethics and political neutrality. Scholars are increasingly called upon to document these changes objectively, providing a historical record of how the rule of law has evolved.</w:t>
      </w:r>
    </w:p>
    <w:p>
      <w:pPr>
        <w:pStyle w:val="BodyText"/>
      </w:pPr>
      <w:r>
        <w:t xml:space="preserve">Furthermore, international legal organizations have expressed concern over the erosion of judicial independence in</w:t>
      </w:r>
      <w:r>
        <w:t xml:space="preserve"> </w:t>
      </w:r>
      <w:r>
        <w:rPr>
          <w:bCs/>
          <w:b/>
        </w:rPr>
        <w:t xml:space="preserve">Venezuela Caracas</w:t>
      </w:r>
      <w:r>
        <w:t xml:space="preserve">. Reports from human rights groups frequently cite cases where judges faced intimidation or removal for issuing rulings contrary to government interests. This climate stifles internal reform and limits the ability of local jurists to engage in open debate about judicial best practices.</w:t>
      </w:r>
    </w:p>
    <w:bookmarkEnd w:id="24"/>
    <w:bookmarkStart w:id="25" w:name="Xfdc92f4de484ab920f80138ebadd3b470f91795"/>
    <w:p>
      <w:pPr>
        <w:pStyle w:val="Heading2"/>
      </w:pPr>
      <w:r>
        <w:t xml:space="preserve">V. Comparative Analysis and Future Prospects</w:t>
      </w:r>
    </w:p>
    <w:p>
      <w:pPr>
        <w:pStyle w:val="FirstParagraph"/>
      </w:pPr>
      <w:r>
        <w:t xml:space="preserve">To fully appreciate the situation in</w:t>
      </w:r>
      <w:r>
        <w:t xml:space="preserve"> </w:t>
      </w:r>
      <w:r>
        <w:rPr>
          <w:bCs/>
          <w:b/>
        </w:rPr>
        <w:t xml:space="preserve">Venezuela Caracas</w:t>
      </w:r>
      <w:r>
        <w:t xml:space="preserve">, it is helpful to compare it with other Latin American nations undergoing similar democratic transitions or consolidations. In countries like Colombia or Costa Rica, judicial independence remains a stronger pillar despite political pressures. The Venezuelan experience underscores the fragility of legal institutions when they are overly intertwined with partisan politics.</w:t>
      </w:r>
    </w:p>
    <w:p>
      <w:pPr>
        <w:pStyle w:val="BodyText"/>
      </w:pPr>
      <w:r>
        <w:t xml:space="preserve">The future of the</w:t>
      </w:r>
      <w:r>
        <w:t xml:space="preserve"> </w:t>
      </w:r>
      <w:r>
        <w:rPr>
          <w:bCs/>
          <w:b/>
        </w:rPr>
        <w:t xml:space="preserve">Judge</w:t>
      </w:r>
      <w:r>
        <w:t xml:space="preserve"> </w:t>
      </w:r>
      <w:r>
        <w:t xml:space="preserve">in Venezuela depends on broader socio-political reforms that restore checks and balances. Until then, academic focus must remain on documenting these shifts to ensure that international legal standards are maintained and advocated for. For scholars studying</w:t>
      </w:r>
      <w:r>
        <w:t xml:space="preserve"> </w:t>
      </w:r>
      <w:r>
        <w:rPr>
          <w:bCs/>
          <w:b/>
        </w:rPr>
        <w:t xml:space="preserve">Venezuela Caracas</w:t>
      </w:r>
      <w:r>
        <w:t xml:space="preserve">, the judiciary represents a critical lens through which to understand the intersection of law, politics, and society.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 Venezuela has been fundamentally altered by political forces concentrated in</w:t>
      </w:r>
      <w:r>
        <w:t xml:space="preserve"> </w:t>
      </w:r>
      <w:r>
        <w:rPr>
          <w:bCs/>
          <w:b/>
        </w:rPr>
        <w:t xml:space="preserve">Venezuela Caracas</w:t>
      </w:r>
      <w:r>
        <w:t xml:space="preserve">. While constitutional texts promise independence, practical realities suggest a judiciary deeply embedded within the executive's ideological framework. This analysis highlights the urgent need for continued academic scrutiny and international engagement to support judicial integrity. Understanding this dynamic is essential for anyone seeking to engage with legal issues in the region today.</w:t>
      </w:r>
    </w:p>
    <w:bookmarkEnd w:id="26"/>
    <w:bookmarkStart w:id="27" w:name="vii.-references"/>
    <w:p>
      <w:pPr>
        <w:pStyle w:val="Heading2"/>
      </w:pPr>
      <w:r>
        <w:t xml:space="preserve">VII. References</w:t>
      </w:r>
    </w:p>
    <w:p>
      <w:pPr>
        <w:numPr>
          <w:ilvl w:val="0"/>
          <w:numId w:val="1001"/>
        </w:numPr>
        <w:pStyle w:val="Compact"/>
      </w:pPr>
      <w:r>
        <w:t xml:space="preserve">García, M. (2018). *The Crisis of Constitutionalism in Venezuela*. Caracas: Editorial Jurídica Venezolana.</w:t>
      </w:r>
    </w:p>
    <w:p>
      <w:pPr>
        <w:numPr>
          <w:ilvl w:val="0"/>
          <w:numId w:val="1001"/>
        </w:numPr>
        <w:pStyle w:val="Compact"/>
      </w:pPr>
      <w:r>
        <w:t xml:space="preserve">Hernández, L., &amp; Torres, R. (2020). "Judicial Independence under Pressure: A Case Study of the Supreme Tribunal." *Journal of Latin American Law*, 45(3), 112-130.</w:t>
      </w:r>
    </w:p>
    <w:p>
      <w:pPr>
        <w:numPr>
          <w:ilvl w:val="0"/>
          <w:numId w:val="1001"/>
        </w:numPr>
        <w:pStyle w:val="Compact"/>
      </w:pPr>
      <w:r>
        <w:t xml:space="preserve">Nations Unidas. (2019). *Report on Human Rights Conditions in Venezuela*. New York: UN Publications.</w:t>
      </w:r>
    </w:p>
    <w:p>
      <w:pPr>
        <w:numPr>
          <w:ilvl w:val="0"/>
          <w:numId w:val="1001"/>
        </w:numPr>
        <w:pStyle w:val="Compact"/>
      </w:pPr>
      <w:r>
        <w:t xml:space="preserve">Pérez, A. (2021). *Legal Institutions in Post-Chávez Venezuela*. Bogotá: Universidad de los Andes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Authority in the Bolivarian Republic: A Critical Analysis of the Role of Judges in Venezuela, Caracas</dc:title>
  <dc:creator/>
  <cp:keywords/>
  <dcterms:created xsi:type="dcterms:W3CDTF">2026-07-29T09:57:58Z</dcterms:created>
  <dcterms:modified xsi:type="dcterms:W3CDTF">2026-07-29T09:57:58Z</dcterms:modified>
</cp:coreProperties>
</file>

<file path=docProps/custom.xml><?xml version="1.0" encoding="utf-8"?>
<Properties xmlns="http://schemas.openxmlformats.org/officeDocument/2006/custom-properties" xmlns:vt="http://schemas.openxmlformats.org/officeDocument/2006/docPropsVTypes"/>
</file>