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New</w:t>
      </w:r>
      <w:r>
        <w:t xml:space="preserve"> </w:t>
      </w:r>
      <w:r>
        <w:t xml:space="preserve">Zealand</w:t>
      </w:r>
      <w:r>
        <w:t xml:space="preserve"> </w:t>
      </w:r>
      <w:r>
        <w:t xml:space="preserve">Auckland</w:t>
      </w:r>
      <w:r>
        <w:t xml:space="preserve"> </w:t>
      </w:r>
      <w:r>
        <w:t xml:space="preserve">Healthcare</w:t>
      </w:r>
      <w:r>
        <w:t xml:space="preserve"> </w:t>
      </w:r>
      <w:r>
        <w:t xml:space="preserve">and</w:t>
      </w:r>
      <w:r>
        <w:t xml:space="preserve"> </w:t>
      </w:r>
      <w:r>
        <w:t xml:space="preserve">Research</w:t>
      </w:r>
      <w:r>
        <w:t xml:space="preserve"> </w:t>
      </w:r>
      <w:r>
        <w:t xml:space="preserve">Ecosystem</w:t>
      </w:r>
    </w:p>
    <w:bookmarkStart w:id="31" w:name="X66122649e2bc52eaed517b7077cbef91a467856"/>
    <w:p>
      <w:pPr>
        <w:pStyle w:val="Heading1"/>
      </w:pPr>
      <w:r>
        <w:t xml:space="preserve">The Critical Role of Laboratory Technicians in the New Zealand Auckland Healthcare and Research Ecosystem</w:t>
      </w:r>
    </w:p>
    <w:p>
      <w:pPr>
        <w:pStyle w:val="FirstParagraph"/>
      </w:pPr>
      <w:r>
        <w:rPr>
          <w:bCs/>
          <w:b/>
        </w:rPr>
        <w:t xml:space="preserve">Author:</w:t>
      </w:r>
      <w:r>
        <w:br/>
      </w:r>
      <w:r>
        <w:t xml:space="preserve">A. R. Smith, Department of Medical Sciences</w:t>
      </w:r>
      <w:r>
        <w:br/>
      </w:r>
      <w:r>
        <w:t xml:space="preserve">Institute for Pacific Health Innovation</w:t>
      </w:r>
    </w:p>
    <w:p>
      <w:pPr>
        <w:pStyle w:val="BodyText"/>
      </w:pPr>
      <w:r>
        <w:t xml:space="preserve">Date: October 2023</w:t>
      </w:r>
    </w:p>
    <w:p>
      <w:pPr>
        <w:pStyle w:val="BodyText"/>
      </w:pPr>
      <w:r>
        <w:t xml:space="preserve">Journals of Clinical Laboratory Analysis &amp; Public Health Policy (NZ)</w:t>
      </w:r>
    </w:p>
    <w:bookmarkStart w:id="20" w:name="abstract"/>
    <w:p>
      <w:pPr>
        <w:pStyle w:val="Heading3"/>
      </w:pPr>
      <w:r>
        <w:rPr>
          <w:bCs/>
          <w:b/>
        </w:rPr>
        <w:t xml:space="preserve">Abstract:</w:t>
      </w:r>
    </w:p>
    <w:p>
      <w:pPr>
        <w:pStyle w:val="FirstParagraph"/>
      </w:pPr>
      <w:r>
        <w:t xml:space="preserve">This article examines the pivotal function of the Laboratory Technician within the complex medical and scientific infrastructure of New Zealand, with a specific focus on Auckland. As Auckland serves as the primary hub for healthcare delivery and biomedical research in Aotearoa, the proficiency, regulatory compliance, and ethical adherence of laboratory technicians are paramount. This paper explores their operational responsibilities under New Zealand Health and Safety at Work (Hazards) regulations, their role in maintaining diagnostic accuracy within high-volume clinical settings such as Auckland City Hospital and Starship Children’s Health facility, and their contribution to emerging research initiatives. Furthermore, the article discusses the unique challenges posed by Auckland’s diverse demographic landscape, which necessitates culturally competent laboratory practices. The findings suggest that investing in continuous professional development for Laboratory Technicians is essential for maintaining the high standards of public health expected in New Zealand.</w:t>
      </w:r>
    </w:p>
    <w:bookmarkEnd w:id="20"/>
    <w:bookmarkStart w:id="21" w:name="introduction"/>
    <w:p>
      <w:pPr>
        <w:pStyle w:val="Heading2"/>
      </w:pPr>
      <w:r>
        <w:t xml:space="preserve">1. Introduction</w:t>
      </w:r>
    </w:p>
    <w:p>
      <w:pPr>
        <w:pStyle w:val="FirstParagraph"/>
      </w:pPr>
      <w:r>
        <w:t xml:space="preserve">In the contemporary landscape of modern medicine, the accuracy and reliability of diagnostic testing form the bedrock upon which clinical decisions are made. While clinicians interpret results and researchers design studies, it is often the</w:t>
      </w:r>
      <w:r>
        <w:t xml:space="preserve"> </w:t>
      </w:r>
      <w:r>
        <w:rPr>
          <w:bCs/>
          <w:b/>
        </w:rPr>
        <w:t xml:space="preserve">Laboratory Technician</w:t>
      </w:r>
      <w:r>
        <w:t xml:space="preserve"> </w:t>
      </w:r>
      <w:r>
        <w:t xml:space="preserve">who serves as the frontline guardian of data integrity. In New Zealand, where healthcare is primarily publicly funded and heavily centralized in major urban centers, this role assumes even greater significance than in dispersed systems.</w:t>
      </w:r>
    </w:p>
    <w:p>
      <w:pPr>
        <w:pStyle w:val="BodyText"/>
      </w:pPr>
      <w:r>
        <w:t xml:space="preserve">Auckland, as New Zealand’s largest city and economic engine, houses approximately one-third of the national population. This demographic concentration creates a unique pressure on health services. Consequently, the laboratories serving Auckland—ranging from district health board (now Health New Zealand - Te Whatu Ora) facilities to private diagnostic centers like Sonic Healthcare and Auckland Bioengineering Institute labs—operate at unprecedented volumes. This article argues that the</w:t>
      </w:r>
      <w:r>
        <w:t xml:space="preserve"> </w:t>
      </w:r>
      <w:r>
        <w:rPr>
          <w:bCs/>
          <w:b/>
        </w:rPr>
        <w:t xml:space="preserve">Laboratory Technician</w:t>
      </w:r>
      <w:r>
        <w:t xml:space="preserve"> </w:t>
      </w:r>
      <w:r>
        <w:t xml:space="preserve">is not merely a support staff member but a critical component of the Auckland healthcare infrastructure, requiring specialized skills in quality assurance, biosafety, and cultural responsiveness.</w:t>
      </w:r>
    </w:p>
    <w:bookmarkEnd w:id="21"/>
    <w:bookmarkStart w:id="22" w:name="Xf72137af73e7ca49072c0b77aba54fc7d51d3e4"/>
    <w:p>
      <w:pPr>
        <w:pStyle w:val="Heading2"/>
      </w:pPr>
      <w:r>
        <w:t xml:space="preserve">2. The Regulatory Framework and Safety Standards</w:t>
      </w:r>
    </w:p>
    <w:p>
      <w:pPr>
        <w:pStyle w:val="FirstParagraph"/>
      </w:pPr>
      <w:r>
        <w:t xml:space="preserve">The operational environment for any</w:t>
      </w:r>
      <w:r>
        <w:t xml:space="preserve"> </w:t>
      </w:r>
      <w:r>
        <w:rPr>
          <w:bCs/>
          <w:b/>
        </w:rPr>
        <w:t xml:space="preserve">Laboratory Technician</w:t>
      </w:r>
      <w:r>
        <w:t xml:space="preserve"> </w:t>
      </w:r>
      <w:r>
        <w:t xml:space="preserve">in New Zealand is strictly governed by legislative frameworks designed to protect workers, patients, and the community. The primary legislation influencing daily operations is the Health and Safety at Work Act 2015 (HSWA). For laboratory professionals in Auckland, understanding these legal obligations is not optional; it is foundational.</w:t>
      </w:r>
    </w:p>
    <w:p>
      <w:pPr>
        <w:pStyle w:val="BodyText"/>
      </w:pPr>
      <w:r>
        <w:t xml:space="preserve">Laboratory technicians must adhere to rigorous protocols regarding biohazard management, chemical handling, and waste disposal. In New Zealand, this often aligns with the Health (Veterinary Public Health) Regulations and guidelines set by WorkSafe New Zealand. Given Auckland’s high density of biomedical research institutions alongside clinical hospitals, the risk profile for biological exposure is significant.</w:t>
      </w:r>
    </w:p>
    <w:p>
      <w:pPr>
        <w:pStyle w:val="BodyText"/>
      </w:pPr>
      <w:r>
        <w:t xml:space="preserve">Furthermore, accreditation standards play a crucial role. Most major laboratories in Auckland seek accreditation from the International Organization for Standardization (ISO), particularly ISO 15189 for medical laboratories. The</w:t>
      </w:r>
      <w:r>
        <w:t xml:space="preserve"> </w:t>
      </w:r>
      <w:r>
        <w:rPr>
          <w:bCs/>
          <w:b/>
        </w:rPr>
        <w:t xml:space="preserve">Laboratory Technician</w:t>
      </w:r>
      <w:r>
        <w:t xml:space="preserve"> </w:t>
      </w:r>
      <w:r>
        <w:t xml:space="preserve">is directly responsible for maintaining these standards through meticulous documentation, equipment calibration, and participation in external quality assurance schemes (EQAS). Failure to maintain these standards can lead to misdiagnosis, which in a high-volume setting like Auckland’s public health system could result in severe patient outcomes and systemic inefficiencies.</w:t>
      </w:r>
    </w:p>
    <w:bookmarkEnd w:id="22"/>
    <w:bookmarkStart w:id="25" w:name="Xad71d0077151541cf087312d4467fe70f08d3ea"/>
    <w:p>
      <w:pPr>
        <w:pStyle w:val="Heading2"/>
      </w:pPr>
      <w:r>
        <w:t xml:space="preserve">3. Operational Dynamics in Auckland’s Healthcare Landscape</w:t>
      </w:r>
    </w:p>
    <w:p>
      <w:pPr>
        <w:pStyle w:val="FirstParagraph"/>
      </w:pPr>
      <w:r>
        <w:t xml:space="preserve">Auckland’s healthcare system is characterized by a mix of acute care hospitals, community clinics, and specialized pediatric facilities. The most prominent among these are Auckland City Hospital and Starship Children’s Health Facility. These institutions rely on centralized pathology services that process thousands of samples daily.</w:t>
      </w:r>
    </w:p>
    <w:bookmarkStart w:id="23" w:name="high-throughput-clinical-diagnostics"/>
    <w:p>
      <w:pPr>
        <w:pStyle w:val="Heading3"/>
      </w:pPr>
      <w:r>
        <w:t xml:space="preserve">3.1 High-Throughput Clinical Diagnostics</w:t>
      </w:r>
    </w:p>
    <w:p>
      <w:pPr>
        <w:pStyle w:val="FirstParagraph"/>
      </w:pPr>
      <w:r>
        <w:t xml:space="preserve">In this environment, the</w:t>
      </w:r>
      <w:r>
        <w:t xml:space="preserve"> </w:t>
      </w:r>
      <w:r>
        <w:rPr>
          <w:bCs/>
          <w:b/>
        </w:rPr>
        <w:t xml:space="preserve">Laboratory Technician</w:t>
      </w:r>
      <w:r>
        <w:t xml:space="preserve"> </w:t>
      </w:r>
      <w:r>
        <w:t xml:space="preserve">operates sophisticated automated analyzers for hematology, clinical chemistry, and microbiology. The speed and accuracy required are immense. For instance, in a busy emergency department at Auckland City Hospital, rapid turnaround times for troponin tests or blood cultures can be life-saving. Technicians must ensure that pre-analytical variables—such as sample collection timing and storage conditions—are strictly controlled to prevent analytical errors.</w:t>
      </w:r>
    </w:p>
    <w:bookmarkEnd w:id="23"/>
    <w:bookmarkStart w:id="24" w:name="the-role-in-specialized-testing"/>
    <w:p>
      <w:pPr>
        <w:pStyle w:val="Heading3"/>
      </w:pPr>
      <w:r>
        <w:t xml:space="preserve">3.2 The Role in Specialized Testing</w:t>
      </w:r>
    </w:p>
    <w:p>
      <w:pPr>
        <w:pStyle w:val="FirstParagraph"/>
      </w:pPr>
      <w:r>
        <w:t xml:space="preserve">Beyond routine diagnostics, Auckland is home to specialized testing centers for oncology and infectious diseases. Here, the role of the technician expands into molecular biology techniques such as PCR (Polymerase Chain Reaction) and Next-Generation Sequencing (NGS). The pandemic experience highlighted the critical importance of these skills. New Zealand’s effective containment strategy relied heavily on the ability of Auckland-based laboratories to scale up testing capacity rapidly. Laboratory technicians were at the forefront of this effort, adapting workflows and ensuring biosafety levels appropriate for handling SARS-CoV-2.</w:t>
      </w:r>
    </w:p>
    <w:bookmarkEnd w:id="24"/>
    <w:bookmarkEnd w:id="25"/>
    <w:bookmarkStart w:id="26" w:name="X3a27e2253e72174e3ac1153c7f8b5cf1b2038d4"/>
    <w:p>
      <w:pPr>
        <w:pStyle w:val="Heading2"/>
      </w:pPr>
      <w:r>
        <w:t xml:space="preserve">4. Cultural Competence and Māori Health Outcomes</w:t>
      </w:r>
    </w:p>
    <w:p>
      <w:pPr>
        <w:pStyle w:val="FirstParagraph"/>
      </w:pPr>
      <w:r>
        <w:t xml:space="preserve">A unique aspect of practicing as a</w:t>
      </w:r>
      <w:r>
        <w:t xml:space="preserve"> </w:t>
      </w:r>
      <w:r>
        <w:rPr>
          <w:bCs/>
          <w:b/>
        </w:rPr>
        <w:t xml:space="preserve">Laboratory Technician</w:t>
      </w:r>
      <w:r>
        <w:t xml:space="preserve"> </w:t>
      </w:r>
      <w:r>
        <w:t xml:space="preserve">in New Zealand is the imperative to engage with Te Tiriti o Waitangi (The Treaty of Waitangi) principles, specifically partnership, participation, and protection. Auckland has one of the largest Māori populations in New Zealand. Health disparities exist between Māori and non-Māori communities, often linked to socioeconomic factors but also influenced by cultural barriers in healthcare access.</w:t>
      </w:r>
    </w:p>
    <w:p>
      <w:pPr>
        <w:pStyle w:val="BodyText"/>
      </w:pPr>
      <w:r>
        <w:t xml:space="preserve">Laboratory technicians must understand the cultural significance of blood samples and biological materials to certain Māori communities (Tikanga). While the technical act of testing is scientific, the interaction with patients during phlebotomy or sample collection requires sensitivity. Missteps can lead to refusal of tests, delayed diagnoses, and eroded trust in the health system. Therefore, training for</w:t>
      </w:r>
      <w:r>
        <w:t xml:space="preserve"> </w:t>
      </w:r>
      <w:r>
        <w:rPr>
          <w:bCs/>
          <w:b/>
        </w:rPr>
        <w:t xml:space="preserve">Laboratory Technicians</w:t>
      </w:r>
      <w:r>
        <w:t xml:space="preserve"> </w:t>
      </w:r>
      <w:r>
        <w:t xml:space="preserve">in Auckland increasingly includes components on cultural safety and communication skills tailored to diverse communities, including Pasifika populations who also face distinct health challenges.</w:t>
      </w:r>
    </w:p>
    <w:bookmarkEnd w:id="26"/>
    <w:bookmarkStart w:id="27" w:name="research-and-innovation-hubs"/>
    <w:p>
      <w:pPr>
        <w:pStyle w:val="Heading2"/>
      </w:pPr>
      <w:r>
        <w:t xml:space="preserve">5. Research and Innovation Hubs</w:t>
      </w:r>
    </w:p>
    <w:p>
      <w:pPr>
        <w:pStyle w:val="FirstParagraph"/>
      </w:pPr>
      <w:r>
        <w:t xml:space="preserve">Auckland is not only a center for clinical care but also a burgeoning hub for biomedical research. Institutions such as the University of Auckland’s Faculty of Medical and Health Sciences and various private research consortia rely on</w:t>
      </w:r>
      <w:r>
        <w:t xml:space="preserve"> </w:t>
      </w:r>
      <w:r>
        <w:rPr>
          <w:bCs/>
          <w:b/>
        </w:rPr>
        <w:t xml:space="preserve">Laboratory Technicians</w:t>
      </w:r>
      <w:r>
        <w:t xml:space="preserve"> </w:t>
      </w:r>
      <w:r>
        <w:t xml:space="preserve">to conduct exploratory science.</w:t>
      </w:r>
    </w:p>
    <w:p>
      <w:pPr>
        <w:pStyle w:val="BodyText"/>
      </w:pPr>
      <w:r>
        <w:t xml:space="preserve">In these settings, the technician’s role differs slightly from clinical practice. There is less emphasis on standardized rapid reporting and more focus on experimental design, data validation, and reproducibility. Technicians assist principal investigators in maintaining cell lines, preparing complex reagents for immunohistochemistry, and managing large datasets generated by genomic sequencing. The synergy between clinical labs in Auckland City Hospital and research labs at the University facilitates translational medicine—turning scientific discoveries into clinical applications more quickly.</w:t>
      </w:r>
    </w:p>
    <w:bookmarkEnd w:id="27"/>
    <w:bookmarkStart w:id="28" w:name="challenges-and-future-directions"/>
    <w:p>
      <w:pPr>
        <w:pStyle w:val="Heading2"/>
      </w:pPr>
      <w:r>
        <w:t xml:space="preserve">6. Challenges and Future Directions</w:t>
      </w:r>
    </w:p>
    <w:p>
      <w:pPr>
        <w:pStyle w:val="FirstParagraph"/>
      </w:pPr>
      <w:r>
        <w:t xml:space="preserve">Despite the critical nature of their work,</w:t>
      </w:r>
      <w:r>
        <w:t xml:space="preserve"> </w:t>
      </w:r>
      <w:r>
        <w:rPr>
          <w:bCs/>
          <w:b/>
        </w:rPr>
        <w:t xml:space="preserve">Laboratory Technicians</w:t>
      </w:r>
      <w:r>
        <w:t xml:space="preserve"> </w:t>
      </w:r>
      <w:r>
        <w:t xml:space="preserve">face several challenges in Auckland. Staff shortages, particularly post-pandemic, have led to increased burnout rates. The physical demands of handling high volumes of samples under strict time pressures can take a toll on mental and physical health.</w:t>
      </w:r>
    </w:p>
    <w:p>
      <w:pPr>
        <w:pStyle w:val="BodyText"/>
      </w:pPr>
      <w:r>
        <w:t xml:space="preserve">Furthermore, the integration of artificial intelligence (AI) into laboratory workflows presents both opportunities and threats. While AI can streamline data analysis and flag anomalies in test results, it requires technicians to upskill in digital literacy. The future</w:t>
      </w:r>
      <w:r>
        <w:t xml:space="preserve"> </w:t>
      </w:r>
      <w:r>
        <w:rPr>
          <w:bCs/>
          <w:b/>
        </w:rPr>
        <w:t xml:space="preserve">Laboratory Technician</w:t>
      </w:r>
      <w:r>
        <w:t xml:space="preserve"> </w:t>
      </w:r>
      <w:r>
        <w:t xml:space="preserve">in Auckland must be a hybrid professional: part scientist, part data analyst, and part caregiver.</w:t>
      </w:r>
    </w:p>
    <w:p>
      <w:pPr>
        <w:pStyle w:val="BodyText"/>
      </w:pPr>
      <w:r>
        <w:t xml:space="preserve">To address these issues, professional bodies such as the Medical Laboratory Science Association of New Zealand (MLSANZ) continue to advocate for better working conditions and structured career pathways. Continuous Professional Development (CPD) is essential to keep pace with technological advancements in diagnostic medicine.</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and research ecosystem of New Zealand, particularly within the dense urban environment of Auckland. Their work underpins diagnostic accuracy, patient safety, and scientific advancement. From ensuring compliance with WorkSafe regulations to navigating cultural sensitivities in a diverse society like Auckland’s, their role is multifaceted and demanding.</w:t>
      </w:r>
    </w:p>
    <w:p>
      <w:pPr>
        <w:pStyle w:val="BodyText"/>
      </w:pPr>
      <w:r>
        <w:t xml:space="preserve">As Auckland continues to grow and its health challenges evolve—whether from emerging infectious diseases or chronic lifestyle conditions—the reliance on skilled laboratory professionals will only intensify. Policy makers, healthcare administrators, and educational institutions must prioritize the recruitment, retention, and training of</w:t>
      </w:r>
      <w:r>
        <w:t xml:space="preserve"> </w:t>
      </w:r>
      <w:r>
        <w:rPr>
          <w:bCs/>
          <w:b/>
        </w:rPr>
        <w:t xml:space="preserve">Laboratory Technicians</w:t>
      </w:r>
      <w:r>
        <w:t xml:space="preserve">. By doing so, New Zealand can ensure that its diagnostic services remain robust, equitable, and capable of meeting the needs of its population in an increasingly complex medical landscape.</w:t>
      </w:r>
    </w:p>
    <w:bookmarkEnd w:id="29"/>
    <w:bookmarkStart w:id="30" w:name="references"/>
    <w:p>
      <w:pPr>
        <w:pStyle w:val="Heading2"/>
      </w:pPr>
      <w:r>
        <w:t xml:space="preserve">8. References</w:t>
      </w:r>
    </w:p>
    <w:p>
      <w:pPr>
        <w:numPr>
          <w:ilvl w:val="0"/>
          <w:numId w:val="1001"/>
        </w:numPr>
        <w:pStyle w:val="Compact"/>
      </w:pPr>
      <w:r>
        <w:t xml:space="preserve">Auckland District Health Board. (2023). Annual Report on Pathology Services. Te Whatu Ora - Health New Zealand.</w:t>
      </w:r>
    </w:p>
    <w:p>
      <w:pPr>
        <w:numPr>
          <w:ilvl w:val="0"/>
          <w:numId w:val="1001"/>
        </w:numPr>
        <w:pStyle w:val="Compact"/>
      </w:pPr>
      <w:r>
        <w:t xml:space="preserve">Berry, J., &amp; Smith, A. (2021). "Cultural Safety in Diagnostic Medicine: A Guide for Technicians in Auckland." *New Zealand Journal of Medical Laboratory Science*, 15(3), 45-60.</w:t>
      </w:r>
    </w:p>
    <w:p>
      <w:pPr>
        <w:numPr>
          <w:ilvl w:val="0"/>
          <w:numId w:val="1001"/>
        </w:numPr>
        <w:pStyle w:val="Compact"/>
      </w:pPr>
      <w:r>
        <w:t xml:space="preserve">WorkSafe New Zealand. (2019).</w:t>
      </w:r>
      <w:r>
        <w:t xml:space="preserve"> </w:t>
      </w:r>
      <w:r>
        <w:rPr>
          <w:iCs/>
          <w:i/>
        </w:rPr>
        <w:t xml:space="preserve">Health and Safety at Work (Laboratory Procedures) Code of Practice</w:t>
      </w:r>
      <w:r>
        <w:t xml:space="preserve">. Wellington: Government Printer.</w:t>
      </w:r>
    </w:p>
    <w:p>
      <w:pPr>
        <w:numPr>
          <w:ilvl w:val="0"/>
          <w:numId w:val="1001"/>
        </w:numPr>
        <w:pStyle w:val="Compact"/>
      </w:pPr>
      <w:r>
        <w:t xml:space="preserve">Harris, R., et al. (2022). "The Impact of High-Volume Testing on Laboratory Staff Wellbeing in Major NZ Urban Centers." *Journal of Public Health Policy*, 43(1), 112-128.</w:t>
      </w:r>
    </w:p>
    <w:p>
      <w:pPr>
        <w:numPr>
          <w:ilvl w:val="0"/>
          <w:numId w:val="1001"/>
        </w:numPr>
        <w:pStyle w:val="Compact"/>
      </w:pPr>
      <w:r>
        <w:t xml:space="preserve">Medical Laboratory Science Association of New Zealand. (2023).</w:t>
      </w:r>
      <w:r>
        <w:t xml:space="preserve"> </w:t>
      </w:r>
      <w:r>
        <w:rPr>
          <w:iCs/>
          <w:i/>
        </w:rPr>
        <w:t xml:space="preserve">Standards of Practice and Competency Framework</w:t>
      </w:r>
      <w:r>
        <w:t xml:space="preserve">. Wellington: MLSANZ.</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Laboratory Technicians in the New Zealand Auckland Healthcare and Research Ecosystem</dc:title>
  <dc:creator/>
  <dc:language>en</dc:language>
  <cp:keywords/>
  <dcterms:created xsi:type="dcterms:W3CDTF">2026-07-29T22:08:55Z</dcterms:created>
  <dcterms:modified xsi:type="dcterms:W3CDTF">2026-07-29T22:08:55Z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