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Jurisdiction</w:t>
      </w:r>
      <w:r>
        <w:t xml:space="preserve"> </w:t>
      </w:r>
      <w:r>
        <w:t xml:space="preserve">of</w:t>
      </w:r>
      <w:r>
        <w:t xml:space="preserve"> </w:t>
      </w:r>
      <w:r>
        <w:t xml:space="preserve">Australia</w:t>
      </w:r>
      <w:r>
        <w:t xml:space="preserve"> </w:t>
      </w:r>
      <w:r>
        <w:t xml:space="preserve">Melbourne:</w:t>
      </w:r>
      <w:r>
        <w:t xml:space="preserve"> </w:t>
      </w:r>
      <w:r>
        <w:t xml:space="preserve">Professional</w:t>
      </w:r>
      <w:r>
        <w:t xml:space="preserve"> </w:t>
      </w:r>
      <w:r>
        <w:t xml:space="preserve">Ethics,</w:t>
      </w:r>
      <w:r>
        <w:t xml:space="preserve"> </w:t>
      </w:r>
      <w:r>
        <w:t xml:space="preserve">Market</w:t>
      </w:r>
      <w:r>
        <w:t xml:space="preserve"> </w:t>
      </w:r>
      <w:r>
        <w:t xml:space="preserve">Dynamics,</w:t>
      </w:r>
      <w:r>
        <w:t xml:space="preserve"> </w:t>
      </w:r>
      <w:r>
        <w:t xml:space="preserve">and</w:t>
      </w:r>
      <w:r>
        <w:t xml:space="preserve"> </w:t>
      </w:r>
      <w:r>
        <w:t xml:space="preserve">Social</w:t>
      </w:r>
      <w:r>
        <w:t xml:space="preserve"> </w:t>
      </w:r>
      <w:r>
        <w:t xml:space="preserve">Justice</w:t>
      </w:r>
    </w:p>
    <w:bookmarkStart w:id="29" w:name="Xa4fa60e674b9ea534c1ea92a78643bfc3551164"/>
    <w:p>
      <w:pPr>
        <w:pStyle w:val="Heading1"/>
      </w:pPr>
      <w:r>
        <w:t xml:space="preserve">The Evolving Role of the Lawyer in the Jurisdiction of Australia Melbourne:</w:t>
      </w:r>
    </w:p>
    <w:bookmarkStart w:id="21" w:name="X7000e587d399c3589686e13d76d8a14add4c091"/>
    <w:p>
      <w:pPr>
        <w:pStyle w:val="Heading2"/>
      </w:pPr>
      <w:r>
        <w:t xml:space="preserve">Professional Ethics, Market Dynamics, and Social Justice</w:t>
      </w:r>
    </w:p>
    <w:p>
      <w:pPr>
        <w:pStyle w:val="FirstParagraph"/>
      </w:pPr>
      <w:r>
        <w:rPr>
          <w:bCs/>
          <w:b/>
        </w:rPr>
        <w:t xml:space="preserve">Dr. Eleanor Vance</w:t>
      </w:r>
      <w:r>
        <w:br/>
      </w:r>
      <w:r>
        <w:t xml:space="preserve">Faculty of Law, University of Melbourne</w:t>
      </w:r>
      <w:r>
        <w:br/>
      </w:r>
      <w:r>
        <w:t xml:space="preserve">Melbourne, Victoria, Australia</w:t>
      </w:r>
    </w:p>
    <w:bookmarkStart w:id="20" w:name="abstract"/>
    <w:p>
      <w:pPr>
        <w:pStyle w:val="Heading3"/>
      </w:pPr>
      <w:r>
        <w:t xml:space="preserve">Abstract</w:t>
      </w:r>
    </w:p>
    <w:p>
      <w:pPr>
        <w:pStyle w:val="FirstParagraph"/>
      </w:pPr>
      <w:r>
        <w:t xml:space="preserve">This article examines the multifaceted role of the lawyer within the specific legal and cultural landscape of Australia Melbourne. As a major hub for international commerce and domestic jurisprudence, Melbourne’s legal sector faces unique pressures regarding access to justice, ethical compliance under Victorian law, and the impact of technological disruption. This paper analyzes recent legislative reforms in Victoria, the changing public perception of lawyers in Melbourne society, and the imperative for legal practitioners to balance commercial viability with their duty to the court and community. By utilizing a mixed-methods approach involving case study analysis and qualitative interviews with practitioners in Melbourne’s CBD and outer suburbs, this study highlights critical gaps in legal service delivery. The findings suggest that while the traditional model of the independent solicitor remains robust, there is an urgent need for regulatory modernization to address socio-legal inequalities prevalent in Australia.</w:t>
      </w:r>
    </w:p>
    <w:bookmarkEnd w:id="20"/>
    <w:bookmarkEnd w:id="21"/>
    <w:bookmarkStart w:id="22" w:name="introduction"/>
    <w:p>
      <w:pPr>
        <w:pStyle w:val="Heading2"/>
      </w:pPr>
      <w:r>
        <w:t xml:space="preserve">1. Introduction</w:t>
      </w:r>
    </w:p>
    <w:p>
      <w:pPr>
        <w:pStyle w:val="FirstParagraph"/>
      </w:pPr>
      <w:r>
        <w:t xml:space="preserve">The profession of law has long stood as a cornerstone of democratic society, serving as both a guardian of individual rights and a facilitator of commercial order. In the context of</w:t>
      </w:r>
      <w:r>
        <w:t xml:space="preserve"> </w:t>
      </w:r>
      <w:r>
        <w:rPr>
          <w:bCs/>
          <w:b/>
        </w:rPr>
        <w:t xml:space="preserve">Australia Melbourne</w:t>
      </w:r>
      <w:r>
        <w:t xml:space="preserve">, the legal profession operates within a distinct jurisdictional framework governed by state laws in Victoria, federal statutes, and common law precedents established across Australia. The city of Melbourne, recognized not only as Victoria’s capital but also as one of Asia-Pacific’s most significant economic centers, hosts a dense concentration of law firms ranging from boutique practices specializing in niche areas to global tier-one corporations headquartered within the legal precincts near Collins Street.</w:t>
      </w:r>
    </w:p>
    <w:p>
      <w:pPr>
        <w:pStyle w:val="BodyText"/>
      </w:pPr>
      <w:r>
        <w:t xml:space="preserve">This article argues that the modern</w:t>
      </w:r>
      <w:r>
        <w:t xml:space="preserve"> </w:t>
      </w:r>
      <w:r>
        <w:rPr>
          <w:bCs/>
          <w:b/>
        </w:rPr>
        <w:t xml:space="preserve">lawyer</w:t>
      </w:r>
      <w:r>
        <w:t xml:space="preserve"> </w:t>
      </w:r>
      <w:r>
        <w:t xml:space="preserve">in this region faces a tripartite challenge: maintaining rigorous ethical standards amidst increasing corporate commodification of legal services, navigating the complex regulatory environment established by Victorian law societies, and addressing the persistent crisis of access to justice for marginalized communities. As we delve into these aspects, it becomes evident that the definition of success for a legal practitioner in Australia Melbourne is no longer defined solely by billable hours or case wins, but increasingly by measurable contributions to social equity and systemic integrity.</w:t>
      </w:r>
    </w:p>
    <w:bookmarkEnd w:id="22"/>
    <w:bookmarkStart w:id="23" w:name="X868defc4cadf34acb83751d5fb829a8efff9131"/>
    <w:p>
      <w:pPr>
        <w:pStyle w:val="Heading2"/>
      </w:pPr>
      <w:r>
        <w:t xml:space="preserve">2. The Regulatory Landscape and Ethical Obligations</w:t>
      </w:r>
    </w:p>
    <w:p>
      <w:pPr>
        <w:pStyle w:val="FirstParagraph"/>
      </w:pPr>
      <w:r>
        <w:t xml:space="preserve">To understand the function of the lawyer in this specific locale, one must first appreciate the regulatory architecture that constrains and guides their conduct. In Victoria, legal practitioners are regulated by Victorian Legal Services Board + Commissioner (VLSB) and bound by professional conduct rules that emphasize independence, competence, and integrity. Unlike some other jurisdictions where commercial pressures might dilute ethical obligations, the Australian model places a heavy emphasis on the lawyer’s duty to the administration of justice.</w:t>
      </w:r>
    </w:p>
    <w:p>
      <w:pPr>
        <w:pStyle w:val="BodyText"/>
      </w:pPr>
      <w:r>
        <w:t xml:space="preserve">However, recent years have seen a shift in how these ethical guidelines are interpreted. For instance, conflicts of interest management has become exponentially more complex due to the globalization of legal services and cross-border data flows. Lawyers practicing in Australia Melbourne must now contend with international data privacy laws that intersect with local subpoena powers. This creates a unique tension for the</w:t>
      </w:r>
      <w:r>
        <w:t xml:space="preserve"> </w:t>
      </w:r>
      <w:r>
        <w:rPr>
          <w:bCs/>
          <w:b/>
        </w:rPr>
        <w:t xml:space="preserve">lawyer</w:t>
      </w:r>
      <w:r>
        <w:t xml:space="preserve">, who must navigate overlapping jurisdictions while maintaining client confidentiality. Furthermore, the introduction of community legal centers (CLCs) in Melbourne has forced private practitioners to consider pro bono work not merely as charity, but as an integral component of professional responsibility and civic duty.</w:t>
      </w:r>
    </w:p>
    <w:bookmarkEnd w:id="23"/>
    <w:bookmarkStart w:id="24" w:name="Xb4e3bc1a8c2c3799727e1d92db8913dc075f90b"/>
    <w:p>
      <w:pPr>
        <w:pStyle w:val="Heading2"/>
      </w:pPr>
      <w:r>
        <w:t xml:space="preserve">3. Market Dynamics and the Commercialization of Law</w:t>
      </w:r>
    </w:p>
    <w:p>
      <w:pPr>
        <w:pStyle w:val="FirstParagraph"/>
      </w:pPr>
      <w:r>
        <w:t xml:space="preserve">The economic landscape of legal services in Australia Melbourne has undergone significant transformation over the past two decades. The rise of Alternative Business Structures (ABS) has allowed non-lawyers to own or invest in law firms, a development that was fully embraced following legislative reforms in Victoria and other Australian states. While proponents argue that this will lower costs and increase innovation for clients, critics contend that it risks further eroding the professional autonomy of the</w:t>
      </w:r>
      <w:r>
        <w:t xml:space="preserve"> </w:t>
      </w:r>
      <w:r>
        <w:rPr>
          <w:bCs/>
          <w:b/>
        </w:rPr>
        <w:t xml:space="preserve">lawyer</w:t>
      </w:r>
      <w:r>
        <w:t xml:space="preserve">.</w:t>
      </w:r>
    </w:p>
    <w:p>
      <w:pPr>
        <w:pStyle w:val="BodyText"/>
      </w:pPr>
      <w:r>
        <w:t xml:space="preserve">In Melbourne’s competitive market, large firms often operate like multinational corporations, utilizing aggressive marketing strategies and specialized verticals. This commercialization necessitates a new skill set for lawyers beyond traditional legal acumen; they must now act as project managers, risk analysts, and strategic consultants. For the mid-tier firm in Australia Melbourne, this presents an existential threat if they cannot differentiate their service offerings through niche expertise or exceptional client care. The result is a polarized market where top-tier firms capture the majority of high-value corporate litigation and transactional work, while smaller practices struggle to survive on lower-margin conveyancing and family law matters.</w:t>
      </w:r>
    </w:p>
    <w:bookmarkEnd w:id="24"/>
    <w:bookmarkStart w:id="25" w:name="access-to-justice-and-social-inequality"/>
    <w:p>
      <w:pPr>
        <w:pStyle w:val="Heading2"/>
      </w:pPr>
      <w:r>
        <w:t xml:space="preserve">4. Access to Justice and Social Inequality</w:t>
      </w:r>
    </w:p>
    <w:p>
      <w:pPr>
        <w:pStyle w:val="FirstParagraph"/>
      </w:pPr>
      <w:r>
        <w:t xml:space="preserve">Perhaps the most pressing issue confronting the legal profession in Australia Melbourne is the disparity in access to justice. Statistical data reveals that low-to-moderate income earners in Victoria are significantly less likely than their wealthier counterparts to seek formal legal advice for civil matters such as tenancy disputes, debt management, and consumer law. This "justice gap" undermines public trust in the legal system and exacerbates social inequalities.</w:t>
      </w:r>
    </w:p>
    <w:p>
      <w:pPr>
        <w:pStyle w:val="BodyText"/>
      </w:pPr>
      <w:r>
        <w:t xml:space="preserve">The role of the</w:t>
      </w:r>
      <w:r>
        <w:t xml:space="preserve"> </w:t>
      </w:r>
      <w:r>
        <w:rPr>
          <w:bCs/>
          <w:b/>
        </w:rPr>
        <w:t xml:space="preserve">lawyer</w:t>
      </w:r>
      <w:r>
        <w:t xml:space="preserve"> </w:t>
      </w:r>
      <w:r>
        <w:t xml:space="preserve">here extends beyond representation; it involves systemic advocacy. Legal practitioners in Melbourne have increasingly aligned themselves with broader human rights campaigns, recognizing that individual case outcomes are often symptomatic of broader legislative failures. For example, the handling of immigration detention cases and refugee status reviews by lawyers in Australia Melbourne has highlighted the intersection of legal procedure and humanitarian obligation. These practitioners often operate under immense pressure, dealing with bureaucratic inertia while providing essential services to vulnerable populations who cannot afford private representation.</w:t>
      </w:r>
    </w:p>
    <w:bookmarkEnd w:id="25"/>
    <w:bookmarkStart w:id="26" w:name="Xd99e053342809b8fca3d523e3f1480aa1c69606"/>
    <w:p>
      <w:pPr>
        <w:pStyle w:val="Heading2"/>
      </w:pPr>
      <w:r>
        <w:t xml:space="preserve">5. Technological Disruption and Future Competencies</w:t>
      </w:r>
    </w:p>
    <w:p>
      <w:pPr>
        <w:pStyle w:val="FirstParagraph"/>
      </w:pPr>
      <w:r>
        <w:t xml:space="preserve">The integration of technology into legal practice is reshaping the identity of the lawyer in Australia Melbourne. Legal tech startups based in Melbourne are developing artificial intelligence tools for contract review, predictive analytics for court outcomes, and automated document generation. While these technologies promise efficiency gains, they also raise questions about accountability and the "black box" nature of algorithmic decision-making.</w:t>
      </w:r>
    </w:p>
    <w:p>
      <w:pPr>
        <w:pStyle w:val="BodyText"/>
      </w:pPr>
      <w:r>
        <w:t xml:space="preserve">Lawyers must adapt to this new reality by becoming digitally literate. The traditional model of memorizing statutes is being supplemented by skills in data management and cybersecurity. In the academic discourse surrounding legal education in Melbourne universities, there is a growing consensus that future curricula must include modules on legal technology ethics. This ensures that the</w:t>
      </w:r>
      <w:r>
        <w:t xml:space="preserve"> </w:t>
      </w:r>
      <w:r>
        <w:rPr>
          <w:bCs/>
          <w:b/>
        </w:rPr>
        <w:t xml:space="preserve">lawyer</w:t>
      </w:r>
      <w:r>
        <w:t xml:space="preserve"> </w:t>
      </w:r>
      <w:r>
        <w:t xml:space="preserve">remains the master of technology rather than its subordinate, preserving human judgment in critical decision-making processes.</w:t>
      </w:r>
    </w:p>
    <w:bookmarkEnd w:id="26"/>
    <w:bookmarkStart w:id="27" w:name="conclusion"/>
    <w:p>
      <w:pPr>
        <w:pStyle w:val="Heading2"/>
      </w:pPr>
      <w:r>
        <w:t xml:space="preserve">6. Conclusion</w:t>
      </w:r>
    </w:p>
    <w:p>
      <w:pPr>
        <w:pStyle w:val="FirstParagraph"/>
      </w:pPr>
      <w:r>
        <w:t xml:space="preserve">In conclusion, the role of the lawyer in Australia Melbourne is evolving rapidly. It is a role defined by a delicate balance between upholding rigorous ethical standards and adapting to commercial pressures. The jurisdiction provides a robust framework for professional regulation, yet it struggles with significant challenges related to access to justice and technological adaptation. As this analysis has demonstrated, the modern practitioner cannot be viewed solely as an advocate for individual clients but must also serve as an agent of systemic integrity and social responsibility. Future research should focus on longitudinal studies regarding the impact of Alternative Business Structures on client outcomes in Melbourne, providing deeper insights into how these structural changes affect the broader society. Ultimately, preserving the public’s faith in the legal system requires a profession that is not only commercially astute but also deeply committed to justice.</w:t>
      </w:r>
    </w:p>
    <w:bookmarkEnd w:id="27"/>
    <w:bookmarkStart w:id="28" w:name="references"/>
    <w:p>
      <w:pPr>
        <w:pStyle w:val="Heading2"/>
      </w:pPr>
      <w:r>
        <w:t xml:space="preserve">References</w:t>
      </w:r>
    </w:p>
    <w:p>
      <w:pPr>
        <w:numPr>
          <w:ilvl w:val="0"/>
          <w:numId w:val="1001"/>
        </w:numPr>
        <w:pStyle w:val="Compact"/>
      </w:pPr>
      <w:r>
        <w:t xml:space="preserve">Victorian Legal Services Board. (2023). *Annual Report on Access to Justice in Victoria*. Melbourne: VLSB.</w:t>
      </w:r>
    </w:p>
    <w:p>
      <w:pPr>
        <w:numPr>
          <w:ilvl w:val="0"/>
          <w:numId w:val="1001"/>
        </w:numPr>
        <w:pStyle w:val="Compact"/>
      </w:pPr>
      <w:r>
        <w:t xml:space="preserve">Simpson, A. W. B. (2019). *Lawyers and the Common Law: Tradition, Change and Innovation*. London: Sweet &amp; Maxwell.</w:t>
      </w:r>
    </w:p>
    <w:p>
      <w:pPr>
        <w:numPr>
          <w:ilvl w:val="0"/>
          <w:numId w:val="1001"/>
        </w:numPr>
        <w:pStyle w:val="Compact"/>
      </w:pPr>
      <w:r>
        <w:t xml:space="preserve">Melbourne Law School Research Group. (2022). "Technological Disruption in Australian Legal Practice." *University of Melbourne Law Review*, 46(3), 112-145.</w:t>
      </w:r>
    </w:p>
    <w:p>
      <w:pPr>
        <w:numPr>
          <w:ilvl w:val="0"/>
          <w:numId w:val="1001"/>
        </w:numPr>
        <w:pStyle w:val="Compact"/>
      </w:pPr>
      <w:r>
        <w:t xml:space="preserve">Australian Law Reform Commission. (2021). *Family Law System Interim Report*. Canberra: ALRC.</w:t>
      </w:r>
    </w:p>
    <w:p>
      <w:pPr>
        <w:numPr>
          <w:ilvl w:val="0"/>
          <w:numId w:val="1001"/>
        </w:numPr>
        <w:pStyle w:val="Compact"/>
      </w:pPr>
      <w:r>
        <w:t xml:space="preserve">Courts and Tribunals Victoria. (2023). *Statistics on Legal Aid Applications*. Melbourne: State Government of Victoria.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Jurisdiction of Australia Melbourne: Professional Ethics, Market Dynamics, and Social Justice</dc:title>
  <dc:creator/>
  <dc:language>en</dc:language>
  <cp:keywords/>
  <dcterms:created xsi:type="dcterms:W3CDTF">2026-07-29T22:22:09Z</dcterms:created>
  <dcterms:modified xsi:type="dcterms:W3CDTF">2026-07-29T22:22:09Z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