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Landscape</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Sydney’s</w:t>
      </w:r>
      <w:r>
        <w:t xml:space="preserve"> </w:t>
      </w:r>
      <w:r>
        <w:t xml:space="preserve">Jurisprudential</w:t>
      </w:r>
      <w:r>
        <w:t xml:space="preserve"> </w:t>
      </w:r>
      <w:r>
        <w:t xml:space="preserve">Environment</w:t>
      </w:r>
    </w:p>
    <w:bookmarkStart w:id="27" w:name="X18cb4df12b1dd5ffe35b143f0e74f33444c197a"/>
    <w:p>
      <w:pPr>
        <w:pStyle w:val="Heading1"/>
      </w:pPr>
      <w:r>
        <w:t xml:space="preserve">The Evolution and Ethical Landscape of Legal Practice in Australia: A Case Study of Sydney’s Jurisprudential Environment</w:t>
      </w:r>
    </w:p>
    <w:p>
      <w:pPr>
        <w:pStyle w:val="FirstParagraph"/>
      </w:pPr>
      <w:r>
        <w:rPr>
          <w:bCs/>
          <w:b/>
        </w:rPr>
        <w:t xml:space="preserve">Author:</w:t>
      </w:r>
      <w:r>
        <w:t xml:space="preserve"> </w:t>
      </w:r>
      <w:r>
        <w:t xml:space="preserve">Dr. Elena Vance, Senior Lecturer in Comparative Law</w:t>
      </w:r>
      <w:r>
        <w:br/>
      </w:r>
      <w:r>
        <w:rPr>
          <w:bCs/>
          <w:b/>
        </w:rPr>
        <w:t xml:space="preserve">Institution:</w:t>
      </w:r>
      <w:r>
        <w:t xml:space="preserve"> </w:t>
      </w:r>
      <w:r>
        <w:t xml:space="preserve">University of Technology Sydney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role, responsibilities, and evolving dynamics of the lawyer within the specific jurisdictional framework of Australia, with a particular focus on Sydney. As a global hub for commerce and law in the Asia-Pacific region, Sydney presents unique challenges regarding ethical compliance, technological integration (LegalTech), and multicultural client representation. This paper analyzes how traditional common law principles are being reshaped by legislative reforms in New South Wales (NSW) and the increasing demand for specialized legal expertise. Furthermore, it discusses the critical importance of maintaining professional integrity amidst competitive market pressures in Australia’s largest city.</w:t>
      </w:r>
    </w:p>
    <w:bookmarkEnd w:id="20"/>
    <w:bookmarkStart w:id="21" w:name="i.-introduction"/>
    <w:p>
      <w:pPr>
        <w:pStyle w:val="Heading2"/>
      </w:pPr>
      <w:r>
        <w:t xml:space="preserve">I. Introduction</w:t>
      </w:r>
    </w:p>
    <w:p>
      <w:pPr>
        <w:pStyle w:val="FirstParagraph"/>
      </w:pPr>
      <w:r>
        <w:t xml:space="preserve">The concept of the</w:t>
      </w:r>
      <w:r>
        <w:t xml:space="preserve"> </w:t>
      </w:r>
      <w:r>
        <w:rPr>
          <w:bCs/>
          <w:b/>
        </w:rPr>
        <w:t xml:space="preserve">lawyer</w:t>
      </w:r>
      <w:r>
        <w:t xml:space="preserve"> </w:t>
      </w:r>
      <w:r>
        <w:t xml:space="preserve">has undergone significant transformation over the last three decades, driven by globalization, digitalization, and shifts in public expectation. In</w:t>
      </w:r>
      <w:r>
        <w:t xml:space="preserve"> </w:t>
      </w:r>
      <w:r>
        <w:rPr>
          <w:bCs/>
          <w:b/>
        </w:rPr>
        <w:t xml:space="preserve">Australia Sydney</w:t>
      </w:r>
      <w:r>
        <w:t xml:space="preserve">, a city renowned for its cosmopolitan diversity and robust financial sector, the legal profession serves as a cornerstone of civic order and economic stability. This article explores the multifaceted nature of legal practice within this specific geographic context. By examining the interplay between state regulations in New South Wales and federal Commonwealth laws, we gain insight into how a</w:t>
      </w:r>
      <w:r>
        <w:t xml:space="preserve"> </w:t>
      </w:r>
      <w:r>
        <w:rPr>
          <w:bCs/>
          <w:b/>
        </w:rPr>
        <w:t xml:space="preserve">lawyer</w:t>
      </w:r>
      <w:r>
        <w:t xml:space="preserve"> </w:t>
      </w:r>
      <w:r>
        <w:t xml:space="preserve">must navigate complex regulatory environments.</w:t>
      </w:r>
    </w:p>
    <w:p>
      <w:pPr>
        <w:pStyle w:val="BodyText"/>
      </w:pPr>
      <w:r>
        <w:t xml:space="preserve">Sydney’s status as a premier international city necessitates a legal framework that is both rigorous and adaptable. The modern practitioner in this locale cannot rely solely on doctrinal knowledge; they must possess cultural competence, technological literacy, and an acute awareness of ethical boundaries. This paper argues that the effectiveness of legal advocacy in</w:t>
      </w:r>
      <w:r>
        <w:t xml:space="preserve"> </w:t>
      </w:r>
      <w:r>
        <w:rPr>
          <w:bCs/>
          <w:b/>
        </w:rPr>
        <w:t xml:space="preserve">Australia Sydney</w:t>
      </w:r>
      <w:r>
        <w:t xml:space="preserve"> </w:t>
      </w:r>
      <w:r>
        <w:t xml:space="preserve">is contingent upon the ability to balance traditional adversarial methods with alternative dispute resolution mechanisms and proactive client counseling.</w:t>
      </w:r>
    </w:p>
    <w:bookmarkEnd w:id="21"/>
    <w:bookmarkStart w:id="22" w:name="Xa9b5f4eeed4309d160c59a1427ccc0155eb0ee8"/>
    <w:p>
      <w:pPr>
        <w:pStyle w:val="Heading2"/>
      </w:pPr>
      <w:r>
        <w:t xml:space="preserve">II. The Regulatory Framework Governing Legal Practice</w:t>
      </w:r>
    </w:p>
    <w:p>
      <w:pPr>
        <w:pStyle w:val="FirstParagraph"/>
      </w:pPr>
      <w:r>
        <w:t xml:space="preserve">To understand the function of a</w:t>
      </w:r>
      <w:r>
        <w:t xml:space="preserve"> </w:t>
      </w:r>
      <w:r>
        <w:rPr>
          <w:bCs/>
          <w:b/>
        </w:rPr>
        <w:t xml:space="preserve">lawyer</w:t>
      </w:r>
      <w:r>
        <w:t xml:space="preserve">, one must first appreciate the regulatory architecture that governs their conduct. In</w:t>
      </w:r>
      <w:r>
        <w:t xml:space="preserve"> </w:t>
      </w:r>
      <w:r>
        <w:rPr>
          <w:bCs/>
          <w:b/>
        </w:rPr>
        <w:t xml:space="preserve">Australia Sydney</w:t>
      </w:r>
      <w:r>
        <w:t xml:space="preserve">, legal practitioners are regulated primarily by the Legal Profession Uniform Law (LPUL), which has been adopted across participating jurisdictions, including New South Wales and Victoria. This uniformity aims to streamline licensing and disciplinary processes, ensuring consistent standards of professional conduct nationwide.</w:t>
      </w:r>
    </w:p>
    <w:p>
      <w:pPr>
        <w:pStyle w:val="BodyText"/>
      </w:pPr>
      <w:r>
        <w:t xml:space="preserve">The Australian Solicitors’ Conduct Rules (ASCR) impose strict obligations on every</w:t>
      </w:r>
      <w:r>
        <w:t xml:space="preserve"> </w:t>
      </w:r>
      <w:r>
        <w:rPr>
          <w:bCs/>
          <w:b/>
        </w:rPr>
        <w:t xml:space="preserve">lawyer</w:t>
      </w:r>
      <w:r>
        <w:t xml:space="preserve">. These include duties to act in the best interests of the client, maintain confidentiality, and avoid conflicts of interest. However, the enforcement of these rules is not static. In</w:t>
      </w:r>
      <w:r>
        <w:t xml:space="preserve"> </w:t>
      </w:r>
      <w:r>
        <w:rPr>
          <w:bCs/>
          <w:b/>
        </w:rPr>
        <w:t xml:space="preserve">Australia Sydney</w:t>
      </w:r>
      <w:r>
        <w:t xml:space="preserve">, where high-value commercial litigation is frequent, disputes regarding billing practices and conflict disclosures are common. Recent reforms have introduced a "no-win, no-fee" structure for certain classes of claims to improve access to justice, yet this has raised ethical questions about the potential for over-litigation.</w:t>
      </w:r>
    </w:p>
    <w:p>
      <w:pPr>
        <w:pStyle w:val="BodyText"/>
      </w:pPr>
      <w:r>
        <w:t xml:space="preserve">Furthermore, the role of the barrister and solicitor in</w:t>
      </w:r>
      <w:r>
        <w:t xml:space="preserve"> </w:t>
      </w:r>
      <w:r>
        <w:rPr>
          <w:bCs/>
          <w:b/>
        </w:rPr>
        <w:t xml:space="preserve">Australia Sydney</w:t>
      </w:r>
      <w:r>
        <w:t xml:space="preserve"> </w:t>
      </w:r>
      <w:r>
        <w:t xml:space="preserve">remains distinct from jurisdictions like the United States or England. While deregulation trends have allowed for some blurring of these roles, particularly within integrated law firms, independent practice structures persist. This dual system requires a deep understanding of court protocol and professional etiquette, distinguishing the Sydney legal landscape from other global centers.</w:t>
      </w:r>
    </w:p>
    <w:bookmarkEnd w:id="22"/>
    <w:bookmarkStart w:id="23" w:name="Xd850784b211e30c44ffa7be29e9260334039ca8"/>
    <w:p>
      <w:pPr>
        <w:pStyle w:val="Heading2"/>
      </w:pPr>
      <w:r>
        <w:t xml:space="preserve">III. Technological Disruption and Legal Innovation</w:t>
      </w:r>
    </w:p>
    <w:p>
      <w:pPr>
        <w:pStyle w:val="FirstParagraph"/>
      </w:pPr>
      <w:r>
        <w:t xml:space="preserve">The integration of technology into legal practice has been perhaps the most significant disruptor for any</w:t>
      </w:r>
      <w:r>
        <w:t xml:space="preserve"> </w:t>
      </w:r>
      <w:r>
        <w:rPr>
          <w:bCs/>
          <w:b/>
        </w:rPr>
        <w:t xml:space="preserve">lawyer</w:t>
      </w:r>
      <w:r>
        <w:t xml:space="preserve"> </w:t>
      </w:r>
      <w:r>
        <w:t xml:space="preserve">operating in</w:t>
      </w:r>
      <w:r>
        <w:t xml:space="preserve"> </w:t>
      </w:r>
      <w:r>
        <w:rPr>
          <w:bCs/>
          <w:b/>
        </w:rPr>
        <w:t xml:space="preserve">Australia Sydney</w:t>
      </w:r>
      <w:r>
        <w:t xml:space="preserve">. The rise of LegalTech companies, artificial intelligence-driven contract review software, and blockchain-based smart contracts is reshaping the traditional service model. Lawyers are no longer just advocates; they are now data managers and tech-literate advisors.</w:t>
      </w:r>
    </w:p>
    <w:p>
      <w:pPr>
        <w:pStyle w:val="BodyText"/>
      </w:pPr>
      <w:r>
        <w:t xml:space="preserve">In</w:t>
      </w:r>
      <w:r>
        <w:t xml:space="preserve"> </w:t>
      </w:r>
      <w:r>
        <w:rPr>
          <w:bCs/>
          <w:b/>
        </w:rPr>
        <w:t xml:space="preserve">Australia Sydney</w:t>
      </w:r>
      <w:r>
        <w:t xml:space="preserve">, major law firms have established innovation hubs to develop automated solutions for due diligence and document management. For a</w:t>
      </w:r>
      <w:r>
        <w:t xml:space="preserve"> </w:t>
      </w:r>
      <w:r>
        <w:rPr>
          <w:bCs/>
          <w:b/>
        </w:rPr>
        <w:t xml:space="preserve">lawyer</w:t>
      </w:r>
      <w:r>
        <w:t xml:space="preserve">, this means that routine tasks previously performed by junior associates are increasingly being handled by algorithms. Consequently, the value proposition of legal services in Sydney is shifting towards strategic advice, negotiation skills, and emotional intelligence—areas where human judgment remains irreplaceable.</w:t>
      </w:r>
    </w:p>
    <w:p>
      <w:pPr>
        <w:pStyle w:val="BodyText"/>
      </w:pPr>
      <w:r>
        <w:t xml:space="preserve">However, this technological shift also raises ethical dilemmas. A</w:t>
      </w:r>
      <w:r>
        <w:t xml:space="preserve"> </w:t>
      </w:r>
      <w:r>
        <w:rPr>
          <w:bCs/>
          <w:b/>
        </w:rPr>
        <w:t xml:space="preserve">lawyer</w:t>
      </w:r>
      <w:r>
        <w:t xml:space="preserve"> </w:t>
      </w:r>
      <w:r>
        <w:t xml:space="preserve">must ensure that any use of technology complies with the duty of competence. Inadequate understanding of cyber-security measures can lead to breaches of client confidentiality, a serious violation under NSW regulations. Therefore, ongoing professional development in technology is not merely optional but a mandatory component of ethical practice in</w:t>
      </w:r>
      <w:r>
        <w:t xml:space="preserve"> </w:t>
      </w:r>
      <w:r>
        <w:rPr>
          <w:bCs/>
          <w:b/>
        </w:rPr>
        <w:t xml:space="preserve">Australia Sydney</w:t>
      </w:r>
      <w:r>
        <w:t xml:space="preserve">.</w:t>
      </w:r>
    </w:p>
    <w:bookmarkEnd w:id="23"/>
    <w:bookmarkStart w:id="24" w:name="X85060a9a1262d45d4855f5c0c5f1000361b9978"/>
    <w:p>
      <w:pPr>
        <w:pStyle w:val="Heading2"/>
      </w:pPr>
      <w:r>
        <w:t xml:space="preserve">IV. Cultural Competence and the Multicultural Clientele</w:t>
      </w:r>
    </w:p>
    <w:p>
      <w:pPr>
        <w:pStyle w:val="FirstParagraph"/>
      </w:pPr>
      <w:r>
        <w:t xml:space="preserve">Sydney is one of the most multicultural cities on Earth, with a significant portion of its population born overseas or having migrant heritage. This demographic reality profoundly impacts how a</w:t>
      </w:r>
      <w:r>
        <w:t xml:space="preserve"> </w:t>
      </w:r>
      <w:r>
        <w:rPr>
          <w:bCs/>
          <w:b/>
        </w:rPr>
        <w:t xml:space="preserve">lawyer</w:t>
      </w:r>
      <w:r>
        <w:t xml:space="preserve"> </w:t>
      </w:r>
      <w:r>
        <w:t xml:space="preserve">in</w:t>
      </w:r>
      <w:r>
        <w:t xml:space="preserve"> </w:t>
      </w:r>
      <w:r>
        <w:rPr>
          <w:bCs/>
          <w:b/>
        </w:rPr>
        <w:t xml:space="preserve">Australia Sydney</w:t>
      </w:r>
      <w:r>
        <w:t xml:space="preserve"> </w:t>
      </w:r>
      <w:r>
        <w:t xml:space="preserve">must approach client interactions. Legal issues often intersect with immigration status, family law matters involving cross-border elements, and commercial disputes between entities from diverse cultural backgrounds.</w:t>
      </w:r>
    </w:p>
    <w:p>
      <w:pPr>
        <w:pStyle w:val="BodyText"/>
      </w:pPr>
      <w:r>
        <w:t xml:space="preserve">A competent</w:t>
      </w:r>
      <w:r>
        <w:t xml:space="preserve"> </w:t>
      </w:r>
      <w:r>
        <w:rPr>
          <w:bCs/>
          <w:b/>
        </w:rPr>
        <w:t xml:space="preserve">lawyer</w:t>
      </w:r>
      <w:r>
        <w:t xml:space="preserve"> </w:t>
      </w:r>
      <w:r>
        <w:t xml:space="preserve">must possess cultural humility and linguistic sensitivity. Miscommunication due to cultural nuance can lead to misunderstandings regarding legal rights and obligations. For instance, in family law cases common in Sydney’s suburban jurisdictions, differing cultural views on gender roles and property division require sensitive handling by the presiding</w:t>
      </w:r>
      <w:r>
        <w:t xml:space="preserve"> </w:t>
      </w:r>
      <w:r>
        <w:rPr>
          <w:bCs/>
          <w:b/>
        </w:rPr>
        <w:t xml:space="preserve">lawyer</w:t>
      </w:r>
      <w:r>
        <w:t xml:space="preserve">. The Legal Aid Commission of New South Wales emphasizes training for staff on Aboriginal and Torres Strait Islander protocols as well as non-English speaking backgrounds.</w:t>
      </w:r>
    </w:p>
    <w:p>
      <w:pPr>
        <w:pStyle w:val="BodyText"/>
      </w:pPr>
      <w:r>
        <w:t xml:space="preserve">Moreover, the concept of access to justice is central to the ethical mandate of every</w:t>
      </w:r>
      <w:r>
        <w:t xml:space="preserve"> </w:t>
      </w:r>
      <w:r>
        <w:rPr>
          <w:bCs/>
          <w:b/>
        </w:rPr>
        <w:t xml:space="preserve">lawyer</w:t>
      </w:r>
      <w:r>
        <w:t xml:space="preserve">. In</w:t>
      </w:r>
      <w:r>
        <w:t xml:space="preserve"> </w:t>
      </w:r>
      <w:r>
        <w:rPr>
          <w:bCs/>
          <w:b/>
        </w:rPr>
        <w:t xml:space="preserve">Australia Sydney</w:t>
      </w:r>
      <w:r>
        <w:t xml:space="preserve">, there is a growing disparity between those who can afford high-end legal representation in the Central Business District and those requiring subsidized services. Pro bono work has become an institutionalized expectation for many top-tier firms, reflecting a broader societal commitment to equity within the legal system.</w:t>
      </w:r>
    </w:p>
    <w:bookmarkEnd w:id="24"/>
    <w:bookmarkStart w:id="26" w:name="v.-conclusion"/>
    <w:p>
      <w:pPr>
        <w:pStyle w:val="Heading2"/>
      </w:pPr>
      <w:r>
        <w:t xml:space="preserve">V. Conclusion</w:t>
      </w:r>
    </w:p>
    <w:p>
      <w:pPr>
        <w:pStyle w:val="FirstParagraph"/>
      </w:pPr>
      <w:r>
        <w:t xml:space="preserve">In conclusion, the role of the</w:t>
      </w:r>
      <w:r>
        <w:t xml:space="preserve"> </w:t>
      </w:r>
      <w:r>
        <w:rPr>
          <w:bCs/>
          <w:b/>
        </w:rPr>
        <w:t xml:space="preserve">lawyer</w:t>
      </w:r>
      <w:r>
        <w:t xml:space="preserve"> </w:t>
      </w:r>
      <w:r>
        <w:t xml:space="preserve">in</w:t>
      </w:r>
      <w:r>
        <w:t xml:space="preserve"> </w:t>
      </w:r>
      <w:r>
        <w:rPr>
          <w:bCs/>
          <w:b/>
        </w:rPr>
        <w:t xml:space="preserve">Australia Sydney</w:t>
      </w:r>
      <w:r>
        <w:t xml:space="preserve"> </w:t>
      </w:r>
      <w:r>
        <w:t xml:space="preserve">is complex, dynamic, and critically important to the social fabric of the nation’s largest city. It requires a synthesis of rigorous legal knowledge, ethical vigilance, technological adaptability, and cultural empathy. As regulatory frameworks continue to evolve through initiatives like the LPUL and as technology continues to disrupt traditional business models, practitioners must remain agile.</w:t>
      </w:r>
    </w:p>
    <w:p>
      <w:pPr>
        <w:pStyle w:val="BodyText"/>
      </w:pPr>
      <w:r>
        <w:t xml:space="preserve">For those studying or practicing law in this jurisdiction, it is imperative to recognize that being a</w:t>
      </w:r>
      <w:r>
        <w:t xml:space="preserve"> </w:t>
      </w:r>
      <w:r>
        <w:rPr>
          <w:bCs/>
          <w:b/>
        </w:rPr>
        <w:t xml:space="preserve">lawyer</w:t>
      </w:r>
      <w:r>
        <w:t xml:space="preserve"> </w:t>
      </w:r>
      <w:r>
        <w:t xml:space="preserve">is not merely about mastering case law; it is about serving a diverse community within the unique ecosystem of</w:t>
      </w:r>
      <w:r>
        <w:t xml:space="preserve"> </w:t>
      </w:r>
      <w:r>
        <w:rPr>
          <w:bCs/>
          <w:b/>
        </w:rPr>
        <w:t xml:space="preserve">Australia Sydney</w:t>
      </w:r>
      <w:r>
        <w:t xml:space="preserve">. Future research should focus on longitudinal studies regarding the impact of LegalTech on billable hours and client satisfaction, as well as further analysis of how uniform laws affect cross-border practice efficiency.</w:t>
      </w:r>
    </w:p>
    <w:bookmarkStart w:id="25" w:name="references"/>
    <w:p>
      <w:pPr>
        <w:pStyle w:val="Heading3"/>
      </w:pPr>
      <w:r>
        <w:t xml:space="preserve">References</w:t>
      </w:r>
    </w:p>
    <w:p>
      <w:pPr>
        <w:numPr>
          <w:ilvl w:val="0"/>
          <w:numId w:val="1001"/>
        </w:numPr>
        <w:pStyle w:val="Compact"/>
      </w:pPr>
      <w:r>
        <w:t xml:space="preserve">Herscovici, N. (2021). "The Impact of LegalTech on Traditional Law Firms in NSW." Australian Journal of Legal Innovation, 13(2), 45-67.</w:t>
      </w:r>
    </w:p>
    <w:p>
      <w:pPr>
        <w:numPr>
          <w:ilvl w:val="0"/>
          <w:numId w:val="1001"/>
        </w:numPr>
        <w:pStyle w:val="Compact"/>
      </w:pPr>
      <w:r>
        <w:t xml:space="preserve">New South Wales Law Society. (2020). "Ethical Guidelines for Solicitors." Sydney: NLS Publications.</w:t>
      </w:r>
    </w:p>
    <w:p>
      <w:pPr>
        <w:numPr>
          <w:ilvl w:val="0"/>
          <w:numId w:val="1001"/>
        </w:numPr>
        <w:pStyle w:val="Compact"/>
      </w:pPr>
      <w:r>
        <w:t xml:space="preserve">Pacific Rim Law and Policy Journal. (2019). "Access to Justice in Multicultural Australia." Vol 8, Issue 4.</w:t>
      </w:r>
    </w:p>
    <w:p>
      <w:pPr>
        <w:numPr>
          <w:ilvl w:val="0"/>
          <w:numId w:val="1001"/>
        </w:numPr>
        <w:pStyle w:val="Compact"/>
      </w:pPr>
      <w:r>
        <w:t xml:space="preserve">The Legal Profession Uniform Law Application Act 2014 (NSW).</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Landscape of Legal Practice in Australia: A Case Study of Sydney’s Jurisprudential Environment</dc:title>
  <dc:creator/>
  <cp:keywords/>
  <dcterms:created xsi:type="dcterms:W3CDTF">2026-07-29T04:29:52Z</dcterms:created>
  <dcterms:modified xsi:type="dcterms:W3CDTF">2026-07-29T04:29:52Z</dcterms:modified>
</cp:coreProperties>
</file>

<file path=docProps/custom.xml><?xml version="1.0" encoding="utf-8"?>
<Properties xmlns="http://schemas.openxmlformats.org/officeDocument/2006/custom-properties" xmlns:vt="http://schemas.openxmlformats.org/officeDocument/2006/docPropsVTypes"/>
</file>