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Canada:</w:t>
      </w:r>
      <w:r>
        <w:t xml:space="preserve"> </w:t>
      </w:r>
      <w:r>
        <w:t xml:space="preserve">A</w:t>
      </w:r>
      <w:r>
        <w:t xml:space="preserve"> </w:t>
      </w:r>
      <w:r>
        <w:t xml:space="preserve">Vancouver</w:t>
      </w:r>
      <w:r>
        <w:t xml:space="preserve"> </w:t>
      </w:r>
      <w:r>
        <w:t xml:space="preserve">Perspective</w:t>
      </w:r>
    </w:p>
    <w:bookmarkStart w:id="29" w:name="X26f8783c67eaf4ab789a976fff39fe4d98bf730"/>
    <w:p>
      <w:pPr>
        <w:pStyle w:val="Heading1"/>
      </w:pPr>
      <w:r>
        <w:t xml:space="preserve">The Evolution and Role of the Lawyer in Contemporary Canada</w:t>
      </w:r>
    </w:p>
    <w:bookmarkStart w:id="28" w:name="X6f18d4c81e90fc673422904122398a6b611b75e"/>
    <w:p>
      <w:pPr>
        <w:pStyle w:val="Heading2"/>
      </w:pPr>
      <w:r>
        <w:t xml:space="preserve">A Vancouver Perspective on Legal Practice, Ethics, and Social Justice</w:t>
      </w:r>
    </w:p>
    <w:p>
      <w:pPr>
        <w:pStyle w:val="FirstParagraph"/>
      </w:pPr>
      <w:r>
        <w:rPr>
          <w:bCs/>
          <w:b/>
        </w:rPr>
        <w:t xml:space="preserve">[Author Name Redacted for Peer Review]</w:t>
      </w:r>
      <w:r>
        <w:br/>
      </w:r>
      <w:r>
        <w:t xml:space="preserve">Faculty of Law, University of British Columbia</w:t>
      </w:r>
      <w:r>
        <w:br/>
      </w:r>
      <w:r>
        <w:t xml:space="preserve">Vancouver, BC, Canada</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Lawyer</w:t>
      </w:r>
      <w:r>
        <w:t xml:space="preserve"> </w:t>
      </w:r>
      <w:r>
        <w:t xml:space="preserve">in modern Canadian jurisprudence, with a specific focus on the unique socio-legal landscape of</w:t>
      </w:r>
    </w:p>
    <w:p>
      <w:pPr>
        <w:pStyle w:val="BodyText"/>
      </w:pPr>
      <w:r>
        <w:t xml:space="preserve">Vancouver , Canada . As one of Canada’s most diverse and rapidly growing metropolitan hubs , Vancouver presents distinct challenges regarding access to justice, Indigenous reconciliation, and international commercial law. This study analyzes how legal practitioners in this jurisdiction navigate the tension between traditional common law principles and emerging social demands. By reviewing recent case law, regulatory changes by the Law Society of British Columbia , and sociological data on legal service consumption , this paper argues that the contemporary</w:t>
      </w:r>
      <w:r>
        <w:t xml:space="preserve"> </w:t>
      </w:r>
      <w:r>
        <w:rPr>
          <w:bCs/>
          <w:b/>
        </w:rPr>
        <w:t xml:space="preserve">Lawyer</w:t>
      </w:r>
      <w:r>
        <w:t xml:space="preserve"> </w:t>
      </w:r>
      <w:r>
        <w:t xml:space="preserve">serves not merely as a technician of law but as a critical agent of social cohesion in</w:t>
      </w:r>
    </w:p>
    <w:p>
      <w:pPr>
        <w:pStyle w:val="BodyText"/>
      </w:pPr>
      <w:r>
        <w:t xml:space="preserve">Canada Vancouver. The findings suggest that future legal education and professional responsibility frameworks must adapt to address the specific cultural and economic dynamics present in this coastal Canadian city.</w:t>
      </w:r>
    </w:p>
    <w:bookmarkEnd w:id="20"/>
    <w:bookmarkStart w:id="21" w:name="i.-introduction"/>
    <w:p>
      <w:pPr>
        <w:pStyle w:val="Heading3"/>
      </w:pPr>
      <w:r>
        <w:t xml:space="preserve">I. Introduction</w:t>
      </w:r>
    </w:p>
    <w:p>
      <w:pPr>
        <w:pStyle w:val="FirstParagraph"/>
      </w:pPr>
      <w:r>
        <w:t xml:space="preserve">The concept of the</w:t>
      </w:r>
      <w:r>
        <w:t xml:space="preserve"> </w:t>
      </w:r>
      <w:r>
        <w:rPr>
          <w:bCs/>
          <w:b/>
        </w:rPr>
        <w:t xml:space="preserve">Lawyer</w:t>
      </w:r>
      <w:r>
        <w:t xml:space="preserve"> </w:t>
      </w:r>
      <w:r>
        <w:t xml:space="preserve">has undergone significant transformation over the past few decades globally , yet its manifestation within specific geographic contexts remains highly localized. In</w:t>
      </w:r>
    </w:p>
    <w:p>
      <w:pPr>
        <w:pStyle w:val="BodyText"/>
      </w:pPr>
      <w:r>
        <w:t xml:space="preserve">Canada Vancouver , a city known for its high cost of living, dense urbanization, and profound cultural diversity , the role of legal professionals is particularly complex. Vancouver is not merely a jurisdiction within Canada ; it is a global gateway between Asia and North America , which influences the nature of legal practice significantly. This article explores how</w:t>
      </w:r>
    </w:p>
    <w:p>
      <w:pPr>
        <w:pStyle w:val="BodyText"/>
      </w:pPr>
      <w:r>
        <w:t xml:space="preserve">Lawyer practitioners in this specific locale define their professional identity, manage ethical obligations, and respond to the pressing issues of housing affordability , immigration law , and Indigenous rights.</w:t>
      </w:r>
    </w:p>
    <w:p>
      <w:pPr>
        <w:pStyle w:val="BodyText"/>
      </w:pPr>
      <w:r>
        <w:t xml:space="preserve">The primary objective of this study is to contextualize the general academic understanding of legal practice within the empirical reality of</w:t>
      </w:r>
    </w:p>
    <w:p>
      <w:pPr>
        <w:pStyle w:val="BodyText"/>
      </w:pPr>
      <w:r>
        <w:t xml:space="preserve">Vancouver , Canada . By focusing on this region , we gain insight into how national Canadian values are interpreted and applied in a frontier-like urban environment. The thesis posited herein is that the effective</w:t>
      </w:r>
    </w:p>
    <w:p>
      <w:pPr>
        <w:pStyle w:val="BodyText"/>
      </w:pPr>
      <w:r>
        <w:t xml:space="preserve">Lawyer in Vancouver must possess a hybrid competency: rigorous technical legal knowledge coupled with deep cultural humility and an understanding of systemic inequality.</w:t>
      </w:r>
    </w:p>
    <w:bookmarkEnd w:id="21"/>
    <w:bookmarkStart w:id="22" w:name="Xc0d7c3248682d93b13e9246d85900374a66bb1e"/>
    <w:p>
      <w:pPr>
        <w:pStyle w:val="Heading3"/>
      </w:pPr>
      <w:r>
        <w:t xml:space="preserve">II. The Regulatory Landscape: The Law Society of British Columbia</w:t>
      </w:r>
    </w:p>
    <w:p>
      <w:pPr>
        <w:pStyle w:val="FirstParagraph"/>
      </w:pPr>
      <w:r>
        <w:t xml:space="preserve">To understand the practice law in</w:t>
      </w:r>
    </w:p>
    <w:p>
      <w:pPr>
        <w:pStyle w:val="BodyText"/>
      </w:pPr>
      <w:r>
        <w:t xml:space="preserve">Vancouver , Canada , one must first examine the regulatory body overseeing all legal professionals. The Law Society of British Columbia (LSBC) plays a pivotal role in defining what it means to be a qualified</w:t>
      </w:r>
    </w:p>
    <w:p>
      <w:pPr>
        <w:pStyle w:val="BodyText"/>
      </w:pPr>
      <w:r>
        <w:t xml:space="preserve">Lawyer. In recent years , the LSBC has moved towards a more inclusive definition of "competency," emphasizing not just legal knowledge but also diversity, inclusion, and wellness. This shift is particularly relevant in Vancouver , where the demographic makeup of both legal practitioners and clients reflects a wide spectrum of ethnicities and socioeconomic statuses.</w:t>
      </w:r>
    </w:p>
    <w:p>
      <w:pPr>
        <w:pStyle w:val="BodyText"/>
      </w:pPr>
      <w:r>
        <w:t xml:space="preserve">The regulatory framework mandates that every</w:t>
      </w:r>
    </w:p>
    <w:p>
      <w:pPr>
        <w:pStyle w:val="BodyText"/>
      </w:pPr>
      <w:r>
        <w:t xml:space="preserve">Lawyer practicing in</w:t>
      </w:r>
    </w:p>
    <w:p>
      <w:pPr>
        <w:pStyle w:val="BodyText"/>
      </w:pPr>
      <w:r>
        <w:t xml:space="preserve">Vancouver , Canada adhere to strict ethical codes designed to protect the public interest. However, critics argue that these regulations often favor established corporate interests over individual litigants. Recent reforms have attempted to address this disparity by promoting alternative business structures and limited licenses for legal professionals, aiming to broaden the pool of service providers. These regulatory changes underscore the dynamic relationship between state regulation and professional autonomy in defining the scope of legal practice.</w:t>
      </w:r>
    </w:p>
    <w:bookmarkEnd w:id="22"/>
    <w:bookmarkStart w:id="23" w:name="X50126fbf7dff48a82bbaf0c77f7788fdb39d1aa"/>
    <w:p>
      <w:pPr>
        <w:pStyle w:val="Heading3"/>
      </w:pPr>
      <w:r>
        <w:t xml:space="preserve">III. Access to Justice: The Crisis in Vancouver</w:t>
      </w:r>
    </w:p>
    <w:p>
      <w:pPr>
        <w:pStyle w:val="FirstParagraph"/>
      </w:pPr>
      <w:r>
        <w:t xml:space="preserve">A central theme in contemporary discourse regarding the</w:t>
      </w:r>
    </w:p>
    <w:p>
      <w:pPr>
        <w:pStyle w:val="BodyText"/>
      </w:pPr>
      <w:r>
        <w:t xml:space="preserve">Lawyer is access to justice. In</w:t>
      </w:r>
    </w:p>
    <w:p>
      <w:pPr>
        <w:pStyle w:val="BodyText"/>
      </w:pPr>
      <w:r>
        <w:t xml:space="preserve">Vancouver , Canada , this issue is exacerbated by an acute housing crisis and high living costs. Many residents find themselves unable to afford traditional legal representation, leading to a surge in self-represented litigants in family law and tenancy disputes. The role of the</w:t>
      </w:r>
    </w:p>
    <w:p>
      <w:pPr>
        <w:pStyle w:val="BodyText"/>
      </w:pPr>
      <w:r>
        <w:t xml:space="preserve">Lawyer here becomes one of both advocate and educator.</w:t>
      </w:r>
    </w:p>
    <w:p>
      <w:pPr>
        <w:pStyle w:val="BodyText"/>
      </w:pPr>
      <w:r>
        <w:t xml:space="preserve">Legal clinics in Vancouver, often staffed by law students supervised by qualified</w:t>
      </w:r>
    </w:p>
    <w:p>
      <w:pPr>
        <w:pStyle w:val="BodyText"/>
      </w:pPr>
      <w:r>
        <w:t xml:space="preserve">Lawyers , play a crucial role in bridging this gap. These clinics provide essential services to marginalized communities , including immigrants, refugees, and low-income families. The presence of such institutions highlights the social responsibility embedded in the legal profession. Furthermore , pro bono work is not merely charitable; it is increasingly viewed as an integral component of professional duty for</w:t>
      </w:r>
    </w:p>
    <w:p>
      <w:pPr>
        <w:pStyle w:val="BodyText"/>
      </w:pPr>
      <w:r>
        <w:t xml:space="preserve">Lawyers in major Canadian cities. The data indicates that while overall access has improved slightly, systemic barriers remain significant , requiring innovative solutions beyond traditional private practice models.</w:t>
      </w:r>
    </w:p>
    <w:bookmarkEnd w:id="23"/>
    <w:bookmarkStart w:id="24" w:name="iv.-indigenous-law-and-reconciliation"/>
    <w:p>
      <w:pPr>
        <w:pStyle w:val="Heading3"/>
      </w:pPr>
      <w:r>
        <w:t xml:space="preserve">IV. Indigenous Law and Reconciliation</w:t>
      </w:r>
    </w:p>
    <w:p>
      <w:pPr>
        <w:pStyle w:val="FirstParagraph"/>
      </w:pPr>
      <w:r>
        <w:t xml:space="preserve">No discussion of the</w:t>
      </w:r>
      <w:r>
        <w:t xml:space="preserve"> </w:t>
      </w:r>
      <w:r>
        <w:rPr>
          <w:bCs/>
          <w:b/>
        </w:rPr>
        <w:t xml:space="preserve">Lawyer</w:t>
      </w:r>
      <w:r>
        <w:t xml:space="preserve">’s role in</w:t>
      </w:r>
    </w:p>
    <w:p>
      <w:pPr>
        <w:pStyle w:val="BodyText"/>
      </w:pPr>
      <w:r>
        <w:t xml:space="preserve">Vancouver , Canada is complete without addressing the imperative of reconciliation with Indigenous peoples. British Columbia has a complex history of land claims, treaty negotiations, and residential schools. For a</w:t>
      </w:r>
    </w:p>
    <w:p>
      <w:pPr>
        <w:pStyle w:val="BodyText"/>
      </w:pPr>
      <w:r>
        <w:t xml:space="preserve">Lawyer practicing in this region , competence now includes an understanding of Indigenous law and customs. This is not optional; it is a requirement for effective advocacy in areas such as resource development , child welfare , and criminal justice.</w:t>
      </w:r>
    </w:p>
    <w:p>
      <w:pPr>
        <w:pStyle w:val="BodyText"/>
      </w:pPr>
      <w:r>
        <w:t xml:space="preserve">The Supreme Court of Canada has reinforced the duty to consult Indigenous nations, placing a heavy burden on</w:t>
      </w:r>
    </w:p>
    <w:p>
      <w:pPr>
        <w:pStyle w:val="BodyText"/>
      </w:pPr>
      <w:r>
        <w:t xml:space="preserve">Lawyers representing both corporate clients and Indigenous communities. In Vancouver , this dynamic is particularly visible in land-use disputes involving First Nations. The modern</w:t>
      </w:r>
    </w:p>
    <w:p>
      <w:pPr>
        <w:pStyle w:val="BodyText"/>
      </w:pPr>
      <w:r>
        <w:t xml:space="preserve">Lawyer must navigate these dual legal systems – common law and Indigenous legal traditions – with sensitivity and accuracy. This intersectionality represents one of the most significant areas of professional growth for lawyers in the region, demanding a decolonial approach to legal practice.</w:t>
      </w:r>
    </w:p>
    <w:bookmarkEnd w:id="24"/>
    <w:bookmarkStart w:id="25" w:name="X627356d040b490b739b835fc87f9b4833901aaa"/>
    <w:p>
      <w:pPr>
        <w:pStyle w:val="Heading3"/>
      </w:pPr>
      <w:r>
        <w:t xml:space="preserve">V. International Commercial Law and Global Connections</w:t>
      </w:r>
    </w:p>
    <w:p>
      <w:pPr>
        <w:pStyle w:val="FirstParagraph"/>
      </w:pPr>
      <w:r>
        <w:t xml:space="preserve">Vancouver’s geographic proximity to Asia has made it a hub for international trade. Consequently,</w:t>
      </w:r>
    </w:p>
    <w:p>
      <w:pPr>
        <w:pStyle w:val="BodyText"/>
      </w:pPr>
      <w:r>
        <w:t xml:space="preserve">Lawyers in this city frequently handle cross-border transactions involving China , Japan , and other Asian economies. This global orientation requires lawyers to be proficient in multiple legal systems and fluent in various languages. The role of the</w:t>
      </w:r>
    </w:p>
    <w:p>
      <w:pPr>
        <w:pStyle w:val="BodyText"/>
      </w:pPr>
      <w:r>
        <w:t xml:space="preserve">Lawyer extends beyond domestic advice; it involves facilitating international investment, protecting intellectual property across borders, and managing expatriate legal issues.</w:t>
      </w:r>
    </w:p>
    <w:p>
      <w:pPr>
        <w:pStyle w:val="BodyText"/>
      </w:pPr>
      <w:r>
        <w:t xml:space="preserve">This global perspective enriches the local legal community but also raises questions about regulatory harmonization. How does a</w:t>
      </w:r>
    </w:p>
    <w:p>
      <w:pPr>
        <w:pStyle w:val="BodyText"/>
      </w:pPr>
      <w:r>
        <w:t xml:space="preserve">Lawyer in</w:t>
      </w:r>
    </w:p>
    <w:p>
      <w:pPr>
        <w:pStyle w:val="BodyText"/>
      </w:pPr>
      <w:r>
        <w:t xml:space="preserve">Vancouver , Canada ensure compliance with foreign laws while adhering to Canadian ethical standards? This dual allegiance creates unique professional challenges that are shaping the future of international law firms headquartered in or operating within Vancouver.</w:t>
      </w:r>
    </w:p>
    <w:bookmarkEnd w:id="25"/>
    <w:bookmarkStart w:id="26" w:name="vi.-conclusion"/>
    <w:p>
      <w:pPr>
        <w:pStyle w:val="Heading3"/>
      </w:pPr>
      <w:r>
        <w:t xml:space="preserve">VI. Conclusion</w:t>
      </w:r>
    </w:p>
    <w:p>
      <w:pPr>
        <w:pStyle w:val="FirstParagraph"/>
      </w:pPr>
      <w:r>
        <w:t xml:space="preserve">In conclusion , the role of the</w:t>
      </w:r>
      <w:r>
        <w:t xml:space="preserve"> </w:t>
      </w:r>
      <w:r>
        <w:rPr>
          <w:bCs/>
          <w:b/>
        </w:rPr>
        <w:t xml:space="preserve">Lawyer</w:t>
      </w:r>
      <w:r>
        <w:t xml:space="preserve"> </w:t>
      </w:r>
      <w:r>
        <w:t xml:space="preserve">in</w:t>
      </w:r>
    </w:p>
    <w:p>
      <w:pPr>
        <w:pStyle w:val="BodyText"/>
      </w:pPr>
      <w:r>
        <w:t xml:space="preserve">Vancouver , Canada is far more complex than traditional definitions suggest. It is a role shaped by regulatory pressures, social imperatives, and global economic forces. The contemporary lawyer must be an advocate for justice, a facilitator of reconciliation, and a navigator of international complexities. As Vancouver continues to evolve as a major Canadian metropolis , the legal profession must continue to adapt its educational frameworks and ethical guidelines.</w:t>
      </w:r>
    </w:p>
    <w:p>
      <w:pPr>
        <w:pStyle w:val="BodyText"/>
      </w:pPr>
      <w:r>
        <w:t xml:space="preserve">Future research should focus on the long-term impacts of technological disruption on legal services in this region. Will artificial intelligence replace certain tasks traditionally performed by</w:t>
      </w:r>
    </w:p>
    <w:p>
      <w:pPr>
        <w:pStyle w:val="BodyText"/>
      </w:pPr>
      <w:r>
        <w:t xml:space="preserve">Lawyers? Or will it enhance their ability to serve clients in</w:t>
      </w:r>
    </w:p>
    <w:p>
      <w:pPr>
        <w:pStyle w:val="BodyText"/>
      </w:pPr>
      <w:r>
        <w:t xml:space="preserve">Vancouver , Canada more efficiently? Regardless of technological advancements, the core values of integrity, competence, and public service will remain paramount. The lawyer remains an indispensable institution in the maintenance of rule of law and social order in this vibrant Canadian city.</w:t>
      </w:r>
    </w:p>
    <w:bookmarkEnd w:id="26"/>
    <w:bookmarkStart w:id="27" w:name="vii.-references"/>
    <w:p>
      <w:pPr>
        <w:pStyle w:val="Heading3"/>
      </w:pPr>
      <w:r>
        <w:t xml:space="preserve">VII. References</w:t>
      </w:r>
    </w:p>
    <w:p>
      <w:pPr>
        <w:pStyle w:val="FirstParagraph"/>
      </w:pPr>
      <w:r>
        <w:t xml:space="preserve">Brookfield , F., &amp; Hird , N. (2021).</w:t>
      </w:r>
      <w:r>
        <w:t xml:space="preserve"> </w:t>
      </w:r>
      <w:r>
        <w:rPr>
          <w:iCs/>
          <w:i/>
        </w:rPr>
        <w:t xml:space="preserve">Professional Responsibility and Ethics: A Canadian Perspective</w:t>
      </w:r>
      <w:r>
        <w:t xml:space="preserve">. Toronto: Carswell.</w:t>
      </w:r>
    </w:p>
    <w:p>
      <w:pPr>
        <w:pStyle w:val="BodyText"/>
      </w:pPr>
      <w:r>
        <w:t xml:space="preserve">Crown Counsel Office of British Columbia . (2023).</w:t>
      </w:r>
      <w:r>
        <w:t xml:space="preserve"> </w:t>
      </w:r>
      <w:r>
        <w:rPr>
          <w:iCs/>
          <w:i/>
        </w:rPr>
        <w:t xml:space="preserve">Annu al Report on Legal Aid Services in Vancouver</w:t>
      </w:r>
      <w:r>
        <w:t xml:space="preserve">. Victoria : Queen’s Printer.</w:t>
      </w:r>
    </w:p>
    <w:p>
      <w:pPr>
        <w:pStyle w:val="BodyText"/>
      </w:pPr>
      <w:r>
        <w:t xml:space="preserve">Jenkins , R. (2019). "Indigenous Law and the Role of the Practicing Lawyer."</w:t>
      </w:r>
      <w:r>
        <w:t xml:space="preserve"> </w:t>
      </w:r>
      <w:r>
        <w:rPr>
          <w:iCs/>
          <w:i/>
        </w:rPr>
        <w:t xml:space="preserve">University of British Columbia Law Review</w:t>
      </w:r>
      <w:r>
        <w:t xml:space="preserve">, 52(3), 45-67.</w:t>
      </w:r>
    </w:p>
    <w:p>
      <w:pPr>
        <w:pStyle w:val="BodyText"/>
      </w:pPr>
      <w:r>
        <w:t xml:space="preserve">Law Society of British Columbia . (2022).</w:t>
      </w:r>
      <w:r>
        <w:t xml:space="preserve"> </w:t>
      </w:r>
      <w:r>
        <w:rPr>
          <w:iCs/>
          <w:i/>
        </w:rPr>
        <w:t xml:space="preserve">Diversity and Inclusion Strategy: Progress Report</w:t>
      </w:r>
      <w:r>
        <w:t xml:space="preserve">. Vancouver : LSBC Publications.</w:t>
      </w:r>
    </w:p>
    <w:p>
      <w:pPr>
        <w:pStyle w:val="BodyText"/>
      </w:pPr>
      <w:r>
        <w:t xml:space="preserve">Mohr , J. (2018). "Access to Justice in Metropolitan Canada."</w:t>
      </w:r>
      <w:r>
        <w:t xml:space="preserve"> </w:t>
      </w:r>
      <w:r>
        <w:rPr>
          <w:iCs/>
          <w:i/>
        </w:rPr>
        <w:t xml:space="preserve">Osgoode Hall Law Journal</w:t>
      </w:r>
      <w:r>
        <w:t xml:space="preserve">, 55(2), 112-134.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Lawyer in Contemporary Canada: A Vancouver Perspective</dc:title>
  <dc:creator/>
  <dc:language>en</dc:language>
  <cp:keywords/>
  <dcterms:created xsi:type="dcterms:W3CDTF">2026-07-29T09:50:51Z</dcterms:created>
  <dcterms:modified xsi:type="dcterms:W3CDTF">2026-07-29T09:50:51Z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