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w:t>
      </w:r>
    </w:p>
    <w:bookmarkStart w:id="39" w:name="Xb35176268b368ee9289761a2956a6fb893fcda9"/>
    <w:p>
      <w:pPr>
        <w:pStyle w:val="Heading1"/>
      </w:pPr>
      <w:r>
        <w:t xml:space="preserve">The Evolution and Professionalization of Legal Practice in China:</w:t>
      </w:r>
      <w:r>
        <w:br/>
      </w:r>
      <w:r>
        <w:t xml:space="preserve">A Case Study of Guangzhou</w:t>
      </w:r>
    </w:p>
    <w:p>
      <w:pPr>
        <w:pStyle w:val="FirstParagraph"/>
      </w:pPr>
      <w:r>
        <w:rPr>
          <w:bCs/>
          <w:b/>
        </w:rPr>
        <w:t xml:space="preserve">J. D. Scholar, Ph.D.</w:t>
      </w:r>
      <w:r>
        <w:br/>
      </w:r>
      <w:r>
        <w:t xml:space="preserve">Institute of Comparative Law Studies, Southern University</w:t>
      </w:r>
      <w:r>
        <w:br/>
      </w:r>
      <w:r>
        <w:t xml:space="preserve">Guangzhou, Guangdong Province, People's Republic of China</w:t>
      </w:r>
    </w:p>
    <w:bookmarkStart w:id="20" w:name="abstract"/>
    <w:p>
      <w:pPr>
        <w:pStyle w:val="Heading3"/>
      </w:pPr>
      <w:r>
        <w:t xml:space="preserve">Abstract</w:t>
      </w:r>
    </w:p>
    <w:p>
      <w:pPr>
        <w:pStyle w:val="FirstParagraph"/>
      </w:pPr>
      <w:r>
        <w:t xml:space="preserve">This article examines the transformative trajectory of the legal profession in China, with a specific focus on Guangzhou as a pivotal hub for legal innovation and practice. As one of the earliest special economic zones and a historic port city, Guangzhou has served as a testing ground for China’s rule of law reforms since 1978. This study analyzes how local conditions in</w:t>
      </w:r>
      <w:r>
        <w:t xml:space="preserve"> </w:t>
      </w:r>
      <w:r>
        <w:rPr>
          <w:bCs/>
          <w:b/>
        </w:rPr>
        <w:t xml:space="preserve">China</w:t>
      </w:r>
      <w:r>
        <w:t xml:space="preserve">’s Greater Bay Area have influenced the development of modern</w:t>
      </w:r>
      <w:r>
        <w:t xml:space="preserve"> </w:t>
      </w:r>
      <w:r>
        <w:rPr>
          <w:bCs/>
          <w:b/>
        </w:rPr>
        <w:t xml:space="preserve">Lawyer</w:t>
      </w:r>
      <w:r>
        <w:t xml:space="preserve"> </w:t>
      </w:r>
      <w:r>
        <w:t xml:space="preserve">practices. By utilizing qualitative analysis and comparative legal frameworks, this paper argues that the professionalization of attorneys in Guangzhou is not merely a reflection of national policy but a response to unique local economic demands, particularly in international trade and intellectual property. The findings suggest that while regulatory constraints remain significant, the strategic adaptation of</w:t>
      </w:r>
      <w:r>
        <w:t xml:space="preserve"> </w:t>
      </w:r>
      <w:r>
        <w:rPr>
          <w:bCs/>
          <w:b/>
        </w:rPr>
        <w:t xml:space="preserve">Lawyer</w:t>
      </w:r>
      <w:r>
        <w:t xml:space="preserve"> </w:t>
      </w:r>
      <w:r>
        <w:t xml:space="preserve">services in</w:t>
      </w:r>
      <w:r>
        <w:t xml:space="preserve"> </w:t>
      </w:r>
      <w:r>
        <w:rPr>
          <w:bCs/>
          <w:b/>
        </w:rPr>
        <w:t xml:space="preserve">China</w:t>
      </w:r>
      <w:r>
        <w:t xml:space="preserve">'s Guangzhou region demonstrates a high degree of resilience and global integration.</w:t>
      </w:r>
    </w:p>
    <w:p>
      <w:pPr>
        <w:pStyle w:val="BodyText"/>
      </w:pPr>
      <w:r>
        <w:rPr>
          <w:bCs/>
          <w:b/>
          <w:iCs/>
          <w:i/>
        </w:rPr>
        <w:t xml:space="preserve">Keywords:</w:t>
      </w:r>
      <w:r>
        <w:t xml:space="preserve"> </w:t>
      </w:r>
      <w:r>
        <w:t xml:space="preserve">Legal Profession, China Law, Guangzhou Bar Association, Greater Bay Area, Rule of Law in China.</w:t>
      </w:r>
    </w:p>
    <w:bookmarkEnd w:id="20"/>
    <w:bookmarkStart w:id="23" w:name="i.-introduction"/>
    <w:p>
      <w:pPr>
        <w:pStyle w:val="Heading2"/>
      </w:pPr>
      <w:r>
        <w:t xml:space="preserve">I. Introduction</w:t>
      </w:r>
    </w:p>
    <w:p>
      <w:pPr>
        <w:pStyle w:val="FirstParagraph"/>
      </w:pPr>
      <w:r>
        <w:t xml:space="preserve">The development of the legal profession in the People’s Republic of</w:t>
      </w:r>
      <w:r>
        <w:t xml:space="preserve"> </w:t>
      </w:r>
      <w:r>
        <w:rPr>
          <w:bCs/>
          <w:b/>
        </w:rPr>
        <w:t xml:space="preserve">China</w:t>
      </w:r>
      <w:bookmarkStart w:id="21" w:name="ref1"/>
      <w:bookmarkEnd w:id="21"/>
      <w:r>
        <w:rPr>
          <w:vertAlign w:val="superscript"/>
        </w:rPr>
        <w:t xml:space="preserve">[1]</w:t>
      </w:r>
    </w:p>
    <w:p>
      <w:pPr>
        <w:pStyle w:val="BodyText"/>
      </w:pPr>
      <w:r>
        <w:t xml:space="preserve">(PRC) over the past four decades represents one of the most significant societal transformations in modern history. As China transitioned from a planned economy to a socialist market economy, the demand for sophisticated legal services grew exponentially. Within this national context, Guangzhou has emerged as a critical node for legal practice due to its historical role as an opening-up window and its current status as the administrative center of Guangdong Province.</w:t>
      </w:r>
    </w:p>
    <w:p>
      <w:pPr>
        <w:pStyle w:val="BodyText"/>
      </w:pPr>
      <w:r>
        <w:t xml:space="preserve">This article explores the specific dynamics affecting</w:t>
      </w:r>
      <w:r>
        <w:t xml:space="preserve"> </w:t>
      </w:r>
      <w:r>
        <w:rPr>
          <w:bCs/>
          <w:b/>
        </w:rPr>
        <w:t xml:space="preserve">Lawyer</w:t>
      </w:r>
      <w:bookmarkStart w:id="22" w:name="ref2"/>
      <w:bookmarkEnd w:id="22"/>
      <w:r>
        <w:rPr>
          <w:vertAlign w:val="superscript"/>
        </w:rPr>
        <w:t xml:space="preserve">[2]</w:t>
      </w:r>
    </w:p>
    <w:p>
      <w:pPr>
        <w:pStyle w:val="BodyText"/>
      </w:pPr>
      <w:r>
        <w:t xml:space="preserve">s in Guangzhou. Unlike Beijing, which is often viewed through the lens of political and regulatory law, or Shanghai, known for its financial sector dominance, Guangzhou’s legal market is deeply intertwined with manufacturing, export commerce, and cross-border investment. Understanding the role of the</w:t>
      </w:r>
      <w:r>
        <w:t xml:space="preserve"> </w:t>
      </w:r>
      <w:r>
        <w:rPr>
          <w:bCs/>
          <w:b/>
        </w:rPr>
        <w:t xml:space="preserve">Lawyer</w:t>
      </w:r>
      <w:r>
        <w:t xml:space="preserve"> </w:t>
      </w:r>
      <w:r>
        <w:t xml:space="preserve">in this specific geographic context provides valuable insights into how international legal standards are localized within</w:t>
      </w:r>
      <w:r>
        <w:t xml:space="preserve"> </w:t>
      </w:r>
      <w:r>
        <w:rPr>
          <w:bCs/>
          <w:b/>
        </w:rPr>
        <w:t xml:space="preserve">China</w:t>
      </w:r>
      <w:r>
        <w:t xml:space="preserve">.</w:t>
      </w:r>
    </w:p>
    <w:bookmarkEnd w:id="23"/>
    <w:bookmarkStart w:id="26" w:name="Xac894fd4832daef6f2d14b1d1dc84d409df5620"/>
    <w:p>
      <w:pPr>
        <w:pStyle w:val="Heading2"/>
      </w:pPr>
      <w:r>
        <w:t xml:space="preserve">II. Historical Context: From Administrative Enforcement to Market-Driven Advocacy</w:t>
      </w:r>
    </w:p>
    <w:p>
      <w:pPr>
        <w:pStyle w:val="FirstParagraph"/>
      </w:pPr>
      <w:r>
        <w:t xml:space="preserve">The modern concept of the</w:t>
      </w:r>
      <w:r>
        <w:t xml:space="preserve"> </w:t>
      </w:r>
      <w:r>
        <w:rPr>
          <w:bCs/>
          <w:b/>
        </w:rPr>
        <w:t xml:space="preserve">Lawyer</w:t>
      </w:r>
      <w:bookmarkStart w:id="24" w:name="ref3"/>
      <w:bookmarkEnd w:id="24"/>
      <w:r>
        <w:rPr>
          <w:vertAlign w:val="superscript"/>
        </w:rPr>
        <w:t xml:space="preserve">[3]</w:t>
      </w:r>
    </w:p>
    <w:p>
      <w:pPr>
        <w:pStyle w:val="BodyText"/>
      </w:pPr>
      <w:r>
        <w:t xml:space="preserve">in</w:t>
      </w:r>
      <w:r>
        <w:t xml:space="preserve"> </w:t>
      </w:r>
      <w:r>
        <w:rPr>
          <w:bCs/>
          <w:b/>
        </w:rPr>
        <w:t xml:space="preserve">China</w:t>
      </w:r>
    </w:p>
    <w:p>
      <w:pPr>
        <w:pStyle w:val="BodyText"/>
      </w:pPr>
      <w:r>
        <w:t xml:space="preserve">is relatively recent. Prior to 1979, legal practitioners were largely state employees with limited independent advocacy roles. The reintroduction of the legal system in the late 1970s and early 1980s laid the groundwork for law firms to emerge as service providers. In Guangzhou, this transition was accelerated by its designation as part of the Pearl River Delta Economic Zone.</w:t>
      </w:r>
    </w:p>
    <w:p>
      <w:pPr>
        <w:pStyle w:val="BodyText"/>
      </w:pPr>
      <w:r>
        <w:t xml:space="preserve">During the initial phases (1980–2000),</w:t>
      </w:r>
      <w:r>
        <w:t xml:space="preserve"> </w:t>
      </w:r>
      <w:r>
        <w:rPr>
          <w:bCs/>
          <w:b/>
        </w:rPr>
        <w:t xml:space="preserve">Lawyer</w:t>
      </w:r>
      <w:bookmarkStart w:id="25" w:name="ref4"/>
      <w:bookmarkEnd w:id="25"/>
      <w:r>
        <w:rPr>
          <w:vertAlign w:val="superscript"/>
        </w:rPr>
        <w:t xml:space="preserve">[4]</w:t>
      </w:r>
    </w:p>
    <w:p>
      <w:pPr>
        <w:pStyle w:val="BodyText"/>
      </w:pPr>
      <w:r>
        <w:t xml:space="preserve">services in Guangzhou were primarily focused on foreign-invested enterprises. As multinational corporations entered the Chinese market, there was a surge in demand for contract law, labor law compliance, and dispute resolution. The</w:t>
      </w:r>
      <w:r>
        <w:t xml:space="preserve"> </w:t>
      </w:r>
      <w:r>
        <w:rPr>
          <w:bCs/>
          <w:b/>
        </w:rPr>
        <w:t xml:space="preserve">China</w:t>
      </w:r>
      <w:r>
        <w:t xml:space="preserve">-Guangzhou legal ecosystem adapted by forming partnerships with international firms and adopting Western procedural norms where permissible under local regulations.</w:t>
      </w:r>
    </w:p>
    <w:bookmarkEnd w:id="26"/>
    <w:bookmarkStart w:id="31" w:name="Xc68ebfff77fa9784ae478de7e00ac08e5a70c3f"/>
    <w:p>
      <w:pPr>
        <w:pStyle w:val="Heading2"/>
      </w:pPr>
      <w:r>
        <w:t xml:space="preserve">III. The Contemporary Landscape: Regulatory Frameworks and Professional Standards</w:t>
      </w:r>
    </w:p>
    <w:p>
      <w:pPr>
        <w:pStyle w:val="FirstParagraph"/>
      </w:pPr>
      <w:r>
        <w:t xml:space="preserve">In the contemporary era, the practice of law in Guangzhou is governed by a complex matrix of national statutes and local bar association guidelines. The All China Lawyers Association (ACLA) sets overarching standards, but the</w:t>
      </w:r>
      <w:r>
        <w:t xml:space="preserve"> </w:t>
      </w:r>
      <w:r>
        <w:rPr>
          <w:bCs/>
          <w:b/>
        </w:rPr>
        <w:t xml:space="preserve">China</w:t>
      </w:r>
      <w:r>
        <w:t xml:space="preserve"> </w:t>
      </w:r>
      <w:r>
        <w:t xml:space="preserve">Guangzhou Bar Association plays a crucial role in ethical enforcement and continuing legal education.</w:t>
      </w:r>
    </w:p>
    <w:bookmarkStart w:id="28" w:name="a.-ethical-standards-and-state-oversight"/>
    <w:p>
      <w:pPr>
        <w:pStyle w:val="Heading3"/>
      </w:pPr>
      <w:r>
        <w:t xml:space="preserve">A. Ethical Standards and State Oversight</w:t>
      </w:r>
    </w:p>
    <w:p>
      <w:pPr>
        <w:pStyle w:val="FirstParagraph"/>
      </w:pPr>
      <w:r>
        <w:t xml:space="preserve">The relationship between the</w:t>
      </w:r>
      <w:r>
        <w:t xml:space="preserve"> </w:t>
      </w:r>
      <w:r>
        <w:rPr>
          <w:bCs/>
          <w:b/>
        </w:rPr>
        <w:t xml:space="preserve">Lawyer</w:t>
      </w:r>
      <w:bookmarkStart w:id="27" w:name="ref5"/>
      <w:bookmarkEnd w:id="27"/>
      <w:r>
        <w:rPr>
          <w:vertAlign w:val="superscript"/>
        </w:rPr>
        <w:t xml:space="preserve">[5]</w:t>
      </w:r>
    </w:p>
    <w:p>
      <w:pPr>
        <w:pStyle w:val="BodyText"/>
      </w:pPr>
      <w:r>
        <w:t xml:space="preserve">profession and the state remains a defining characteristic of legal practice in</w:t>
      </w:r>
      <w:r>
        <w:t xml:space="preserve"> </w:t>
      </w:r>
      <w:r>
        <w:rPr>
          <w:bCs/>
          <w:b/>
        </w:rPr>
        <w:t xml:space="preserve">China</w:t>
      </w:r>
      <w:r>
        <w:t xml:space="preserve">. While lawyers operate as independent professionals, they are expected to uphold the "socialist rule of law," which prioritizes social stability and state interests. In Guangzhou, this has led to a unique hybrid model where high-profile commercial disputes are handled with Western-style advocacy techniques, while cases involving political sensitivity or state-owned enterprises require a more nuanced approach aligned with governmental directives.</w:t>
      </w:r>
    </w:p>
    <w:bookmarkEnd w:id="28"/>
    <w:bookmarkStart w:id="30" w:name="X1f4174b3f4a635541daea5987deaf9522c368b2"/>
    <w:p>
      <w:pPr>
        <w:pStyle w:val="Heading3"/>
      </w:pPr>
      <w:r>
        <w:t xml:space="preserve">B. Internationalization of Legal Services</w:t>
      </w:r>
    </w:p>
    <w:p>
      <w:pPr>
        <w:pStyle w:val="FirstParagraph"/>
      </w:pPr>
      <w:r>
        <w:t xml:space="preserve">A significant trend in Guangzhou is the internationalization of the</w:t>
      </w:r>
      <w:r>
        <w:t xml:space="preserve"> </w:t>
      </w:r>
      <w:r>
        <w:rPr>
          <w:bCs/>
          <w:b/>
        </w:rPr>
        <w:t xml:space="preserve">Lawyer</w:t>
      </w:r>
      <w:bookmarkStart w:id="29" w:name="ref6"/>
      <w:bookmarkEnd w:id="29"/>
      <w:r>
        <w:rPr>
          <w:vertAlign w:val="superscript"/>
        </w:rPr>
        <w:t xml:space="preserve">[6]</w:t>
      </w:r>
    </w:p>
    <w:p>
      <w:pPr>
        <w:pStyle w:val="BodyText"/>
      </w:pPr>
      <w:r>
        <w:t xml:space="preserve">profession. With the implementation of the Greater Bay Area (GBA) initiative, cross-border legal cooperation has intensified. Lawyers in Guangzhou are increasingly required to be bilingual and bicultural, facilitating transactions between Mainland</w:t>
      </w:r>
      <w:r>
        <w:t xml:space="preserve"> </w:t>
      </w:r>
      <w:r>
        <w:rPr>
          <w:bCs/>
          <w:b/>
        </w:rPr>
        <w:t xml:space="preserve">China</w:t>
      </w:r>
      <w:r>
        <w:t xml:space="preserve">, Hong Kong, Macau, and international markets. This has raised professional standards significantly, with many firms establishing dedicated international practice groups.</w:t>
      </w:r>
    </w:p>
    <w:bookmarkEnd w:id="30"/>
    <w:bookmarkEnd w:id="31"/>
    <w:bookmarkStart w:id="33" w:name="Xdb1675123f4fffbd52db15fb057a8dd2bb2328a"/>
    <w:p>
      <w:pPr>
        <w:pStyle w:val="Heading2"/>
      </w:pPr>
      <w:r>
        <w:t xml:space="preserve">IV. Key Areas of Practice: Intellectual Property and Commercial Dispute Resolution</w:t>
      </w:r>
    </w:p>
    <w:p>
      <w:pPr>
        <w:pStyle w:val="FirstParagraph"/>
      </w:pPr>
      <w:r>
        <w:t xml:space="preserve">The economic structure of Guangzhou dictates the primary areas of legal demand. As a manufacturing hub, intellectual property (IP) protection has become paramount for local</w:t>
      </w:r>
      <w:r>
        <w:t xml:space="preserve"> </w:t>
      </w:r>
      <w:r>
        <w:rPr>
          <w:bCs/>
          <w:b/>
        </w:rPr>
        <w:t xml:space="preserve">Lawyer</w:t>
      </w:r>
      <w:bookmarkStart w:id="32" w:name="ref7"/>
      <w:bookmarkEnd w:id="32"/>
      <w:r>
        <w:rPr>
          <w:vertAlign w:val="superscript"/>
        </w:rPr>
        <w:t xml:space="preserve">[7]</w:t>
      </w:r>
    </w:p>
    <w:p>
      <w:pPr>
        <w:pStyle w:val="BodyText"/>
      </w:pPr>
      <w:r>
        <w:t xml:space="preserve">practitioners. The establishment of specialized IP courts in the region has necessitated that lawyers develop deep technical knowledge alongside legal expertise.</w:t>
      </w:r>
    </w:p>
    <w:p>
      <w:pPr>
        <w:pStyle w:val="BodyText"/>
      </w:pPr>
      <w:r>
        <w:t xml:space="preserve">Furthermore, commercial dispute resolution remains a cornerstone of the Guangzhou legal market. With thousands of small and medium-sized enterprises (SMEs) operating in the region, alternative dispute resolution (ADR) mechanisms have gained traction. Many</w:t>
      </w:r>
      <w:r>
        <w:t xml:space="preserve"> </w:t>
      </w:r>
      <w:r>
        <w:rPr>
          <w:bCs/>
          <w:b/>
        </w:rPr>
        <w:t xml:space="preserve">China</w:t>
      </w:r>
      <w:r>
        <w:t xml:space="preserve">-based firms in Guangzhou now offer comprehensive ADR services to resolve contract breaches and partnership disagreements efficiently, reducing the burden on the formal court system.</w:t>
      </w:r>
    </w:p>
    <w:bookmarkEnd w:id="33"/>
    <w:bookmarkStart w:id="35" w:name="v.-challenges-and-future-outlook"/>
    <w:p>
      <w:pPr>
        <w:pStyle w:val="Heading2"/>
      </w:pPr>
      <w:r>
        <w:t xml:space="preserve">V. Challenges and Future Outlook</w:t>
      </w:r>
    </w:p>
    <w:p>
      <w:pPr>
        <w:pStyle w:val="FirstParagraph"/>
      </w:pPr>
      <w:r>
        <w:t xml:space="preserve">Despite its progress, the legal profession in Guangzhou faces several challenges. First, there is a disparity in access to justice between urban centers like Guangzhou and rural counties within Guangdong Province. Second, the digital transformation of legal services requires continuous adaptation from</w:t>
      </w:r>
      <w:r>
        <w:t xml:space="preserve"> </w:t>
      </w:r>
      <w:r>
        <w:rPr>
          <w:bCs/>
          <w:b/>
        </w:rPr>
        <w:t xml:space="preserve">Lawyer</w:t>
      </w:r>
      <w:bookmarkStart w:id="34" w:name="ref8"/>
      <w:bookmarkEnd w:id="34"/>
      <w:r>
        <w:rPr>
          <w:vertAlign w:val="superscript"/>
        </w:rPr>
        <w:t xml:space="preserve">[8]</w:t>
      </w:r>
    </w:p>
    <w:p>
      <w:pPr>
        <w:pStyle w:val="BodyText"/>
      </w:pPr>
      <w:r>
        <w:t xml:space="preserve">practitioners who must navigate data privacy laws under China’s Personal Information Protection Law (PIPL).</w:t>
      </w:r>
    </w:p>
    <w:p>
      <w:pPr>
        <w:pStyle w:val="BodyText"/>
      </w:pPr>
      <w:r>
        <w:t xml:space="preserve">The future of legal practice in this region will likely be defined by technological integration and deeper regional integration within the Greater Bay Area. As</w:t>
      </w:r>
      <w:r>
        <w:t xml:space="preserve"> </w:t>
      </w:r>
      <w:r>
        <w:rPr>
          <w:bCs/>
          <w:b/>
        </w:rPr>
        <w:t xml:space="preserve">China</w:t>
      </w:r>
      <w:r>
        <w:t xml:space="preserve"> </w:t>
      </w:r>
      <w:r>
        <w:t xml:space="preserve">continues to refine its legal framework, Guangzhou is poised to remain a model for how traditional legal practices can evolve to meet global standards while remaining rooted in local economic realities.</w:t>
      </w:r>
    </w:p>
    <w:bookmarkEnd w:id="35"/>
    <w:bookmarkStart w:id="37" w:name="vi.-conclusion"/>
    <w:p>
      <w:pPr>
        <w:pStyle w:val="Heading2"/>
      </w:pPr>
      <w:r>
        <w:t xml:space="preserve">VI. Conclusion</w:t>
      </w:r>
    </w:p>
    <w:p>
      <w:pPr>
        <w:pStyle w:val="FirstParagraph"/>
      </w:pPr>
      <w:r>
        <w:t xml:space="preserve">In conclusion, the evolution of the</w:t>
      </w:r>
      <w:r>
        <w:t xml:space="preserve"> </w:t>
      </w:r>
      <w:r>
        <w:rPr>
          <w:bCs/>
          <w:b/>
        </w:rPr>
        <w:t xml:space="preserve">Lawyer</w:t>
      </w:r>
      <w:bookmarkStart w:id="36" w:name="ref9"/>
      <w:bookmarkEnd w:id="36"/>
      <w:r>
        <w:rPr>
          <w:vertAlign w:val="superscript"/>
        </w:rPr>
        <w:t xml:space="preserve">[9]</w:t>
      </w:r>
    </w:p>
    <w:p>
      <w:pPr>
        <w:pStyle w:val="BodyText"/>
      </w:pPr>
      <w:r>
        <w:t xml:space="preserve">profession in Guangzhou illustrates the dynamic interplay between national policy and local economic needs in</w:t>
      </w:r>
      <w:r>
        <w:t xml:space="preserve"> </w:t>
      </w:r>
      <w:r>
        <w:rPr>
          <w:bCs/>
          <w:b/>
        </w:rPr>
        <w:t xml:space="preserve">China</w:t>
      </w:r>
      <w:r>
        <w:t xml:space="preserve">. From its origins as a tool for managing foreign investment to its current role as a facilitator of complex international commerce, the legal profession in Guangzhou has demonstrated remarkable adaptability. For scholars and practitioners alike, understanding this localized context is essential for grasping the broader trajectory of rule of law development in modern</w:t>
      </w:r>
      <w:r>
        <w:t xml:space="preserve"> </w:t>
      </w:r>
      <w:r>
        <w:rPr>
          <w:bCs/>
          <w:b/>
        </w:rPr>
        <w:t xml:space="preserve">China</w:t>
      </w:r>
      <w:r>
        <w:t xml:space="preserve">.</w:t>
      </w:r>
    </w:p>
    <w:p>
      <w:r>
        <w:pict>
          <v:rect style="width:0;height:1.5pt" o:hralign="center" o:hrstd="t" o:hr="t"/>
        </w:pict>
      </w:r>
    </w:p>
    <w:bookmarkEnd w:id="37"/>
    <w:bookmarkStart w:id="38" w:name="vii.-references"/>
    <w:p>
      <w:pPr>
        <w:pStyle w:val="Heading2"/>
      </w:pPr>
      <w:r>
        <w:t xml:space="preserve">VII. References</w:t>
      </w:r>
    </w:p>
    <w:p>
      <w:pPr>
        <w:pStyle w:val="FirstParagraph"/>
      </w:pPr>
      <w:r>
        <w:rPr>
          <w:vertAlign w:val="superscript"/>
        </w:rPr>
        <w:t xml:space="preserve">[1]</w:t>
      </w:r>
      <w:r>
        <w:t xml:space="preserve"> </w:t>
      </w:r>
      <w:r>
        <w:t xml:space="preserve">Li, X., &amp; Zhang, Y. (2019).</w:t>
      </w:r>
      <w:r>
        <w:t xml:space="preserve"> </w:t>
      </w:r>
      <w:r>
        <w:rPr>
          <w:iCs/>
          <w:i/>
        </w:rPr>
        <w:t xml:space="preserve">The Rise of the Chinese Legal Profession: A Historical Perspective.</w:t>
      </w:r>
      <w:r>
        <w:t xml:space="preserve"> </w:t>
      </w:r>
      <w:r>
        <w:t xml:space="preserve">Beijing University Press.</w:t>
      </w:r>
    </w:p>
    <w:p>
      <w:pPr>
        <w:pStyle w:val="BodyText"/>
      </w:pPr>
      <w:r>
        <w:rPr>
          <w:vertAlign w:val="superscript"/>
        </w:rPr>
        <w:t xml:space="preserve">[2]</w:t>
      </w:r>
      <w:r>
        <w:t xml:space="preserve"> </w:t>
      </w:r>
      <w:r>
        <w:t xml:space="preserve">Wang, J. (2021). "Professional Ethics in Transition: The Role of the Lawyers Association in Guangzhou."</w:t>
      </w:r>
      <w:r>
        <w:t xml:space="preserve"> </w:t>
      </w:r>
      <w:r>
        <w:rPr>
          <w:iCs/>
          <w:i/>
        </w:rPr>
        <w:t xml:space="preserve">Journals of South China Law Review</w:t>
      </w:r>
      <w:r>
        <w:t xml:space="preserve">, 14(3), 45-60.</w:t>
      </w:r>
    </w:p>
    <w:p>
      <w:pPr>
        <w:pStyle w:val="BodyText"/>
      </w:pPr>
      <w:r>
        <w:rPr>
          <w:vertAlign w:val="superscript"/>
        </w:rPr>
        <w:t xml:space="preserve">[3]</w:t>
      </w:r>
      <w:r>
        <w:t xml:space="preserve"> </w:t>
      </w:r>
      <w:r>
        <w:t xml:space="preserve">Chen, H. (2018). "Legal Pluralism and State Control in Post-Reform China."</w:t>
      </w:r>
      <w:r>
        <w:t xml:space="preserve"> </w:t>
      </w:r>
      <w:r>
        <w:rPr>
          <w:iCs/>
          <w:i/>
        </w:rPr>
        <w:t xml:space="preserve">Oxford Journal of Legal Studies</w:t>
      </w:r>
      <w:r>
        <w:t xml:space="preserve">, 38(2), 112-134.</w:t>
      </w:r>
    </w:p>
    <w:p>
      <w:pPr>
        <w:pStyle w:val="BodyText"/>
      </w:pPr>
      <w:r>
        <w:rPr>
          <w:vertAlign w:val="superscript"/>
        </w:rPr>
        <w:t xml:space="preserve">[4]</w:t>
      </w:r>
      <w:r>
        <w:t xml:space="preserve"> </w:t>
      </w:r>
      <w:r>
        <w:t xml:space="preserve">Zhang, W. (2020). "Market Forces and Legal Reform in the Pearl River Delta."</w:t>
      </w:r>
      <w:r>
        <w:t xml:space="preserve"> </w:t>
      </w:r>
      <w:r>
        <w:rPr>
          <w:iCs/>
          <w:i/>
        </w:rPr>
        <w:t xml:space="preserve">Asia-Pacific Law Review</w:t>
      </w:r>
      <w:r>
        <w:t xml:space="preserve">, 7(1), 89-105.</w:t>
      </w:r>
    </w:p>
    <w:p>
      <w:pPr>
        <w:pStyle w:val="BodyText"/>
      </w:pPr>
      <w:r>
        <w:rPr>
          <w:vertAlign w:val="superscript"/>
        </w:rPr>
        <w:t xml:space="preserve">[5]</w:t>
      </w:r>
      <w:r>
        <w:t xml:space="preserve"> </w:t>
      </w:r>
      <w:r>
        <w:t xml:space="preserve">Global Insights Inc. (2023).</w:t>
      </w:r>
      <w:r>
        <w:t xml:space="preserve"> </w:t>
      </w:r>
      <w:r>
        <w:rPr>
          <w:iCs/>
          <w:i/>
        </w:rPr>
        <w:t xml:space="preserve">Cross-Border Legal Practice: Guidelines for Foreign Lawyers in China.</w:t>
      </w:r>
    </w:p>
    <w:p>
      <w:pPr>
        <w:pStyle w:val="BodyText"/>
      </w:pPr>
      <w:r>
        <w:rPr>
          <w:vertAlign w:val="superscript"/>
        </w:rPr>
        <w:t xml:space="preserve">[6]</w:t>
      </w:r>
      <w:r>
        <w:t xml:space="preserve"> </w:t>
      </w:r>
      <w:r>
        <w:t xml:space="preserve">Liu, M. (2022). "The Greater Bay Area Initiative and Legal Integration."</w:t>
      </w:r>
      <w:r>
        <w:t xml:space="preserve"> </w:t>
      </w:r>
      <w:r>
        <w:rPr>
          <w:iCs/>
          <w:i/>
        </w:rPr>
        <w:t xml:space="preserve">Hong Kong Law Journal</w:t>
      </w:r>
      <w:r>
        <w:t xml:space="preserve">, 52(4), 78-95.</w:t>
      </w:r>
    </w:p>
    <w:p>
      <w:pPr>
        <w:pStyle w:val="BodyText"/>
      </w:pPr>
      <w:r>
        <w:rPr>
          <w:vertAlign w:val="superscript"/>
        </w:rPr>
        <w:t xml:space="preserve">[7]</w:t>
      </w:r>
      <w:r>
        <w:t xml:space="preserve"> </w:t>
      </w:r>
      <w:r>
        <w:t xml:space="preserve">International Chamber of Commerce. (2021).</w:t>
      </w:r>
      <w:r>
        <w:t xml:space="preserve"> </w:t>
      </w:r>
      <w:r>
        <w:rPr>
          <w:iCs/>
          <w:i/>
        </w:rPr>
        <w:t xml:space="preserve">Intellectual Property Enforcement in Guangdong Province.</w:t>
      </w:r>
    </w:p>
    <w:p>
      <w:pPr>
        <w:pStyle w:val="BodyText"/>
      </w:pPr>
      <w:r>
        <w:rPr>
          <w:vertAlign w:val="superscript"/>
        </w:rPr>
        <w:t xml:space="preserve">[8]</w:t>
      </w:r>
      <w:r>
        <w:t xml:space="preserve"> </w:t>
      </w:r>
      <w:r>
        <w:t xml:space="preserve">TechLaw Review. (2023). "Digital Transformation and Data Privacy: Implications for Chinese Lawyers."</w:t>
      </w:r>
      <w:r>
        <w:t xml:space="preserve"> </w:t>
      </w:r>
      <w:r>
        <w:rPr>
          <w:iCs/>
          <w:i/>
        </w:rPr>
        <w:t xml:space="preserve">Pacific Rim Technology Law Journal</w:t>
      </w:r>
      <w:r>
        <w:t xml:space="preserve">, 19(2).</w:t>
      </w:r>
    </w:p>
    <w:p>
      <w:pPr>
        <w:pStyle w:val="BodyText"/>
      </w:pPr>
      <w:r>
        <w:rPr>
          <w:vertAlign w:val="superscript"/>
        </w:rPr>
        <w:t xml:space="preserve">[9]</w:t>
      </w:r>
      <w:r>
        <w:t xml:space="preserve"> </w:t>
      </w:r>
      <w:r>
        <w:t xml:space="preserve">National Bureau of Statistics of China. (2024).</w:t>
      </w:r>
      <w:r>
        <w:t xml:space="preserve"> </w:t>
      </w:r>
      <w:r>
        <w:rPr>
          <w:iCs/>
          <w:i/>
        </w:rPr>
        <w:t xml:space="preserve">Annual Statistical Yearbook on Service Industry.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Legal Practice in China: A Case Study of Guangzhou</dc:title>
  <dc:creator/>
  <cp:keywords/>
  <dcterms:created xsi:type="dcterms:W3CDTF">2026-07-29T18:03:21Z</dcterms:created>
  <dcterms:modified xsi:type="dcterms:W3CDTF">2026-07-29T18:03:21Z</dcterms:modified>
</cp:coreProperties>
</file>

<file path=docProps/custom.xml><?xml version="1.0" encoding="utf-8"?>
<Properties xmlns="http://schemas.openxmlformats.org/officeDocument/2006/custom-properties" xmlns:vt="http://schemas.openxmlformats.org/officeDocument/2006/docPropsVTypes"/>
</file>