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Legal</w:t>
      </w:r>
      <w:r>
        <w:t xml:space="preserve"> </w:t>
      </w:r>
      <w:r>
        <w:t xml:space="preserve">Representation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Critical</w:t>
      </w:r>
      <w:r>
        <w:t xml:space="preserve"> </w:t>
      </w:r>
      <w:r>
        <w:t xml:space="preserve">Academic</w:t>
      </w:r>
      <w:r>
        <w:t xml:space="preserve"> </w:t>
      </w:r>
      <w:r>
        <w:t xml:space="preserve">Analysis</w:t>
      </w:r>
    </w:p>
    <w:bookmarkStart w:id="20" w:name="Xcfe5cc2cc2e2df1cc98521ce2ebb355c6009701"/>
    <w:p>
      <w:pPr>
        <w:pStyle w:val="Heading1"/>
      </w:pPr>
      <w:r>
        <w:t xml:space="preserve">The Evolving Landscape of Legal Representation in Germany Frankfurt:</w:t>
      </w:r>
    </w:p>
    <w:bookmarkEnd w:id="20"/>
    <w:bookmarkStart w:id="30" w:name="a-critical-academic-analysis"/>
    <w:p>
      <w:pPr>
        <w:pStyle w:val="Heading1"/>
      </w:pPr>
      <w:r>
        <w:t xml:space="preserve">A Critical Academic Analysis</w:t>
      </w:r>
    </w:p>
    <w:p>
      <w:pPr>
        <w:pStyle w:val="FirstParagraph"/>
      </w:pPr>
      <w:r>
        <w:rPr>
          <w:bCs/>
          <w:b/>
        </w:rPr>
        <w:t xml:space="preserve">Jurist Dr. A. Schmidt</w:t>
      </w:r>
      <w:r>
        <w:br/>
      </w:r>
      <w:r>
        <w:rPr>
          <w:bCs/>
          <w:b/>
        </w:rPr>
        <w:t xml:space="preserve">Institute for Comparative Law and Economic Regulation, Goethe University</w:t>
      </w:r>
    </w:p>
    <w:bookmarkStart w:id="21" w:name="abstract"/>
    <w:p>
      <w:pPr>
        <w:pStyle w:val="Heading2"/>
      </w:pPr>
      <w:r>
        <w:t xml:space="preserve">Abstract</w:t>
      </w:r>
    </w:p>
    <w:p>
      <w:pPr>
        <w:pStyle w:val="FirstParagraph"/>
      </w:pPr>
      <w:r>
        <w:t xml:space="preserve">This paper examines the multifaceted role of the</w:t>
      </w:r>
      <w:r>
        <w:t xml:space="preserve"> </w:t>
      </w:r>
      <w:r>
        <w:rPr>
          <w:bCs/>
          <w:b/>
        </w:rPr>
        <w:t xml:space="preserve">Lawyer</w:t>
      </w:r>
      <w:r>
        <w:t xml:space="preserve">, specifically within the bustling economic hub of</w:t>
      </w:r>
      <w:r>
        <w:t xml:space="preserve"> </w:t>
      </w:r>
      <w:r>
        <w:rPr>
          <w:bCs/>
          <w:b/>
        </w:rPr>
        <w:t xml:space="preserve">Germany Frankfurt</w:t>
      </w:r>
      <w:r>
        <w:t xml:space="preserve">. As a global financial center, Frankfurt am Main presents a unique jurisdictional and regulatory environment that demands specialized legal expertise. The article explores how traditional legal frameworks interact with modern corporate governance standards, cross-border compliance issues, and digital transformation in the practice law. By analyzing recent legislative changes and court rulings in the Hesse region, this study highlights the increasing necessity for</w:t>
      </w:r>
      <w:r>
        <w:t xml:space="preserve"> </w:t>
      </w:r>
      <w:r>
        <w:rPr>
          <w:bCs/>
          <w:b/>
        </w:rPr>
        <w:t xml:space="preserve">Germany Frankfurt</w:t>
      </w:r>
      <w:r>
        <w:t xml:space="preserve">-based practitioners to possess a hybrid skill set combining deep knowledge of German Civil Law (BGB) with international commercial practices. The findings suggest that while competition is intensifying due to globalization, there remains a distinct preference for locally grounded legal counsel who understand the intricacies of the local judiciary and economic ecosystem.</w:t>
      </w:r>
    </w:p>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Lawyer</w:t>
      </w:r>
      <w:r>
        <w:t xml:space="preserve"> </w:t>
      </w:r>
      <w:r>
        <w:t xml:space="preserve">extends far beyond mere litigation; it encompasses advisory services, contract drafting, regulatory compliance, and strategic business consulting. In Germany, this profession is governed by strict ethical codes defined by the Bundesrechtsanwaltsordnung (BRA). However, when examining specific regional contexts such as</w:t>
      </w:r>
      <w:r>
        <w:t xml:space="preserve"> </w:t>
      </w:r>
      <w:r>
        <w:rPr>
          <w:bCs/>
          <w:b/>
        </w:rPr>
        <w:t xml:space="preserve">Germany Frankfurt</w:t>
      </w:r>
      <w:r>
        <w:t xml:space="preserve">, these general principles take on particular nuances dictated by the city’s status as a primary financial hub in continental Europe. Frankfurt houses the European Central Bank (ECB), numerous major banks, and international corporate headquarters, creating a high demand for sophisticated legal services.</w:t>
      </w:r>
    </w:p>
    <w:p>
      <w:pPr>
        <w:pStyle w:val="BodyText"/>
      </w:pPr>
      <w:r>
        <w:t xml:space="preserve">This article aims to deconstruct how</w:t>
      </w:r>
      <w:r>
        <w:t xml:space="preserve"> </w:t>
      </w:r>
      <w:r>
        <w:rPr>
          <w:bCs/>
          <w:b/>
        </w:rPr>
        <w:t xml:space="preserve">Lawyer</w:t>
      </w:r>
      <w:r>
        <w:t xml:space="preserve"> </w:t>
      </w:r>
      <w:r>
        <w:t xml:space="preserve">practices in</w:t>
      </w:r>
      <w:r>
        <w:t xml:space="preserve"> </w:t>
      </w:r>
      <w:r>
        <w:rPr>
          <w:bCs/>
          <w:b/>
        </w:rPr>
        <w:t xml:space="preserve">Germany Frankfurt</w:t>
      </w:r>
      <w:r>
        <w:t xml:space="preserve"> </w:t>
      </w:r>
      <w:r>
        <w:t xml:space="preserve">have adapted to the pressures of a rapidly changing global market. It argues that local practitioners face dual challenges: maintaining adherence to traditional German legal rigor while simultaneously accommodating the fast-paced, flexible requirements of international finance and technology sectors prevalent in this specific locale.</w:t>
      </w:r>
    </w:p>
    <w:bookmarkEnd w:id="22"/>
    <w:bookmarkStart w:id="23" w:name="Xad012a6d8ddf73705e87bed38e9f4eb12a2c83b"/>
    <w:p>
      <w:pPr>
        <w:pStyle w:val="Heading2"/>
      </w:pPr>
      <w:r>
        <w:t xml:space="preserve">2. The Regulatory Framework and Professional Ethics</w:t>
      </w:r>
    </w:p>
    <w:p>
      <w:pPr>
        <w:pStyle w:val="FirstParagraph"/>
      </w:pPr>
      <w:r>
        <w:t xml:space="preserve">In</w:t>
      </w:r>
      <w:r>
        <w:t xml:space="preserve"> </w:t>
      </w:r>
      <w:r>
        <w:rPr>
          <w:bCs/>
          <w:b/>
        </w:rPr>
        <w:t xml:space="preserve">Germany Frankfurt</w:t>
      </w:r>
      <w:r>
        <w:t xml:space="preserve">, the practice of law is strictly regulated by both federal laws and local bar associations (Rechtsanwaltskammer). For a</w:t>
      </w:r>
      <w:r>
        <w:t xml:space="preserve"> </w:t>
      </w:r>
      <w:r>
        <w:rPr>
          <w:bCs/>
          <w:b/>
        </w:rPr>
        <w:t xml:space="preserve">Lawyer</w:t>
      </w:r>
      <w:r>
        <w:t xml:space="preserve"> </w:t>
      </w:r>
      <w:r>
        <w:t xml:space="preserve">operating in this region, compliance with the Bundesrechtsanwaltsordnung (BRA) and the Berufsordnung der Rechtsanwälte (BORA) is paramount. These regulations ensure that legal professionals maintain independence, confidentiality, and professional competence.</w:t>
      </w:r>
    </w:p>
    <w:p>
      <w:pPr>
        <w:pStyle w:val="BodyText"/>
      </w:pPr>
      <w:r>
        <w:t xml:space="preserve">A critical aspect of being a</w:t>
      </w:r>
      <w:r>
        <w:t xml:space="preserve"> </w:t>
      </w:r>
      <w:r>
        <w:rPr>
          <w:bCs/>
          <w:b/>
        </w:rPr>
        <w:t xml:space="preserve">Lawyer</w:t>
      </w:r>
      <w:r>
        <w:t xml:space="preserve"> </w:t>
      </w:r>
      <w:r>
        <w:t xml:space="preserve">in</w:t>
      </w:r>
      <w:r>
        <w:t xml:space="preserve"> </w:t>
      </w:r>
      <w:r>
        <w:rPr>
          <w:bCs/>
          <w:b/>
        </w:rPr>
        <w:t xml:space="preserve">Germany Frankfurt</w:t>
      </w:r>
      <w:r>
        <w:t xml:space="preserve"> </w:t>
      </w:r>
      <w:r>
        <w:t xml:space="preserve">is the management of conflicts of interest. Given that many clients are major financial institutions headquartered locally, lawyers must navigate complex waiver procedures. Recent academic discussions have focused on whether current conflict-checking mechanisms are sufficient given the interconnected nature of global banking networks centered in this city.</w:t>
      </w:r>
    </w:p>
    <w:bookmarkEnd w:id="23"/>
    <w:bookmarkStart w:id="24" w:name="X3f72e7ae72ff076a1acace202f1fd13d0e8a94b"/>
    <w:p>
      <w:pPr>
        <w:pStyle w:val="Heading2"/>
      </w:pPr>
      <w:r>
        <w:t xml:space="preserve">3. Specialization in Financial and Corporate Law</w:t>
      </w:r>
    </w:p>
    <w:p>
      <w:pPr>
        <w:pStyle w:val="FirstParagraph"/>
      </w:pPr>
      <w:r>
        <w:t xml:space="preserve">The economic geography of</w:t>
      </w:r>
      <w:r>
        <w:t xml:space="preserve"> </w:t>
      </w:r>
      <w:r>
        <w:rPr>
          <w:bCs/>
          <w:b/>
        </w:rPr>
        <w:t xml:space="preserve">Germany Frankfurt</w:t>
      </w:r>
      <w:r>
        <w:t xml:space="preserve"> </w:t>
      </w:r>
      <w:r>
        <w:t xml:space="preserve">heavily influences the specialization trends among</w:t>
      </w:r>
      <w:r>
        <w:t xml:space="preserve"> </w:t>
      </w:r>
      <w:r>
        <w:rPr>
          <w:bCs/>
          <w:b/>
        </w:rPr>
        <w:t xml:space="preserve">Lawyer</w:t>
      </w:r>
      <w:r>
        <w:t xml:space="preserve">s. Unlike Munich, known for tech startups, or Berlin, associated with media and politics, Frankfurt is synonymous with finance. Consequently, many legal professionals in this area specialize in banking law (Bankrecht), capital markets law (Kapitalmarktrecht), and regulatory compliance.</w:t>
      </w:r>
    </w:p>
    <w:p>
      <w:pPr>
        <w:pStyle w:val="BodyText"/>
      </w:pPr>
      <w:r>
        <w:t xml:space="preserve">A</w:t>
      </w:r>
      <w:r>
        <w:t xml:space="preserve"> </w:t>
      </w:r>
      <w:r>
        <w:rPr>
          <w:bCs/>
          <w:b/>
        </w:rPr>
        <w:t xml:space="preserve">Lawyer</w:t>
      </w:r>
      <w:r>
        <w:t xml:space="preserve"> </w:t>
      </w:r>
      <w:r>
        <w:t xml:space="preserve">practicing in</w:t>
      </w:r>
      <w:r>
        <w:t xml:space="preserve"> </w:t>
      </w:r>
      <w:r>
        <w:rPr>
          <w:bCs/>
          <w:b/>
        </w:rPr>
        <w:t xml:space="preserve">Germany Frankfurt</w:t>
      </w:r>
      <w:r>
        <w:t xml:space="preserve"> </w:t>
      </w:r>
      <w:r>
        <w:t xml:space="preserve">often deals with issues related to the BaFin (Federal Financial Supervisory Authority) regulations. This includes advising on anti-money laundering protocols, GDPR compliance for financial data, and sustainable finance reporting standards. The intersection of EU directives and German national law creates a complex web that requires deep analytical skills. Academic research indicates that</w:t>
      </w:r>
      <w:r>
        <w:t xml:space="preserve"> </w:t>
      </w:r>
      <w:r>
        <w:rPr>
          <w:bCs/>
          <w:b/>
        </w:rPr>
        <w:t xml:space="preserve">Lawyer</w:t>
      </w:r>
      <w:r>
        <w:t xml:space="preserve">s in this region must continuously update their knowledge base to keep pace with regulatory updates issued by the ECB, which is physically located within the city limits.</w:t>
      </w:r>
    </w:p>
    <w:bookmarkEnd w:id="24"/>
    <w:bookmarkStart w:id="25" w:name="X9f24109588e1b88171aa179b7b12d3196d7532f"/>
    <w:p>
      <w:pPr>
        <w:pStyle w:val="Heading2"/>
      </w:pPr>
      <w:r>
        <w:t xml:space="preserve">4. Cross-Border Transactions and Internationalization</w:t>
      </w:r>
    </w:p>
    <w:p>
      <w:pPr>
        <w:pStyle w:val="FirstParagraph"/>
      </w:pPr>
      <w:r>
        <w:t xml:space="preserve">A defining characteristic of modern legal practice in</w:t>
      </w:r>
      <w:r>
        <w:t xml:space="preserve"> </w:t>
      </w:r>
      <w:r>
        <w:rPr>
          <w:bCs/>
          <w:b/>
        </w:rPr>
        <w:t xml:space="preserve">Germany Frankfurt</w:t>
      </w:r>
      <w:r>
        <w:t xml:space="preserve"> </w:t>
      </w:r>
      <w:r>
        <w:t xml:space="preserve">is its international orientation. A</w:t>
      </w:r>
      <w:r>
        <w:t xml:space="preserve"> </w:t>
      </w:r>
      <w:r>
        <w:rPr>
          <w:bCs/>
          <w:b/>
        </w:rPr>
        <w:t xml:space="preserve">Lawyer</w:t>
      </w:r>
      <w:r>
        <w:t xml:space="preserve"> </w:t>
      </w:r>
      <w:r>
        <w:t xml:space="preserve">here rarely deals solely with domestic matters; instead, they frequently facilitate cross-border mergers and acquisitions, international financing structures, and dispute resolution involving foreign entities. This necessitates a bilingual or even multilingual proficiency, as well as an understanding of common law concepts which may differ significantly from civil law traditions.</w:t>
      </w:r>
    </w:p>
    <w:p>
      <w:pPr>
        <w:pStyle w:val="BodyText"/>
      </w:pPr>
      <w:r>
        <w:t xml:space="preserve">The presence of numerous international arbitration centers in</w:t>
      </w:r>
      <w:r>
        <w:t xml:space="preserve"> </w:t>
      </w:r>
      <w:r>
        <w:rPr>
          <w:bCs/>
          <w:b/>
        </w:rPr>
        <w:t xml:space="preserve">Germany Frankfurt</w:t>
      </w:r>
      <w:r>
        <w:t xml:space="preserve"> </w:t>
      </w:r>
      <w:r>
        <w:t xml:space="preserve">has further elevated the profile of specialized</w:t>
      </w:r>
      <w:r>
        <w:t xml:space="preserve"> </w:t>
      </w:r>
      <w:r>
        <w:rPr>
          <w:bCs/>
          <w:b/>
        </w:rPr>
        <w:t xml:space="preserve">Lawyer</w:t>
      </w:r>
      <w:r>
        <w:t xml:space="preserve">s who can navigate both national courts and international tribunals. The ability to bridge the gap between German procedural law and international arbitration rules is a key differentiator for successful legal practitioners in this region.</w:t>
      </w:r>
    </w:p>
    <w:bookmarkEnd w:id="25"/>
    <w:bookmarkStart w:id="26" w:name="digital-transformation-and-legaltech"/>
    <w:p>
      <w:pPr>
        <w:pStyle w:val="Heading2"/>
      </w:pPr>
      <w:r>
        <w:t xml:space="preserve">5. Digital Transformation and LegalTech</w:t>
      </w:r>
    </w:p>
    <w:p>
      <w:pPr>
        <w:pStyle w:val="FirstParagraph"/>
      </w:pPr>
      <w:r>
        <w:t xml:space="preserve">The digital revolution has impacted every profession, including the legal sector in</w:t>
      </w:r>
      <w:r>
        <w:t xml:space="preserve"> </w:t>
      </w:r>
      <w:r>
        <w:rPr>
          <w:bCs/>
          <w:b/>
        </w:rPr>
        <w:t xml:space="preserve">Germany Frankfurt</w:t>
      </w:r>
      <w:r>
        <w:t xml:space="preserve">. A contemporary</w:t>
      </w:r>
      <w:r>
        <w:t xml:space="preserve"> </w:t>
      </w:r>
      <w:r>
        <w:rPr>
          <w:bCs/>
          <w:b/>
        </w:rPr>
        <w:t xml:space="preserve">Lawyer</w:t>
      </w:r>
      <w:r>
        <w:t xml:space="preserve"> </w:t>
      </w:r>
      <w:r>
        <w:t xml:space="preserve">must now be adept at using LegalTech tools for document review, contract automation, and predictive analytics. In a high-volume environment like Frankfurt’s financial district, efficiency is crucial. Firms are increasingly adopting AI-driven solutions to manage due diligence processes in corporate transactions.</w:t>
      </w:r>
    </w:p>
    <w:p>
      <w:pPr>
        <w:pStyle w:val="BodyText"/>
      </w:pPr>
      <w:r>
        <w:t xml:space="preserve">However, this shift raises ethical questions regarding data privacy and the "black box" nature of algorithms used in legal decision support systems. A responsible</w:t>
      </w:r>
      <w:r>
        <w:t xml:space="preserve"> </w:t>
      </w:r>
      <w:r>
        <w:rPr>
          <w:bCs/>
          <w:b/>
        </w:rPr>
        <w:t xml:space="preserve">Lawyer</w:t>
      </w:r>
      <w:r>
        <w:t xml:space="preserve"> </w:t>
      </w:r>
      <w:r>
        <w:t xml:space="preserve">in</w:t>
      </w:r>
      <w:r>
        <w:t xml:space="preserve"> </w:t>
      </w:r>
      <w:r>
        <w:rPr>
          <w:bCs/>
          <w:b/>
        </w:rPr>
        <w:t xml:space="preserve">Germany Frankfurt</w:t>
      </w:r>
      <w:r>
        <w:t xml:space="preserve"> </w:t>
      </w:r>
      <w:r>
        <w:t xml:space="preserve">must ensure that technological adoption does not compromise client confidentiality or the quality of legal advice. Academic studies suggest that while efficiency gains are significant, human oversight remains irreplaceable for complex strategic decisions.</w:t>
      </w:r>
    </w:p>
    <w:bookmarkEnd w:id="26"/>
    <w:bookmarkStart w:id="27" w:name="access-to-justice-and-public-interest"/>
    <w:p>
      <w:pPr>
        <w:pStyle w:val="Heading2"/>
      </w:pPr>
      <w:r>
        <w:t xml:space="preserve">6. Access to Justice and Public Interest</w:t>
      </w:r>
    </w:p>
    <w:p>
      <w:pPr>
        <w:pStyle w:val="FirstParagraph"/>
      </w:pPr>
      <w:r>
        <w:t xml:space="preserve">Beyond corporate interests, the role of a</w:t>
      </w:r>
      <w:r>
        <w:t xml:space="preserve"> </w:t>
      </w:r>
      <w:r>
        <w:rPr>
          <w:bCs/>
          <w:b/>
        </w:rPr>
        <w:t xml:space="preserve">Lawyer</w:t>
      </w:r>
      <w:r>
        <w:t xml:space="preserve"> </w:t>
      </w:r>
      <w:r>
        <w:t xml:space="preserve">in</w:t>
      </w:r>
      <w:r>
        <w:t xml:space="preserve"> </w:t>
      </w:r>
      <w:r>
        <w:rPr>
          <w:bCs/>
          <w:b/>
        </w:rPr>
        <w:t xml:space="preserve">Germany Frankfurt</w:t>
      </w:r>
      <w:r>
        <w:t xml:space="preserve"> </w:t>
      </w:r>
      <w:r>
        <w:t xml:space="preserve">also involves contributing to social justice. Pro bono work and legal aid are essential components of the profession. The local bar association actively encourages members to engage in community service, helping individuals who cannot afford private representation.</w:t>
      </w:r>
    </w:p>
    <w:p>
      <w:pPr>
        <w:pStyle w:val="BodyText"/>
      </w:pPr>
      <w:r>
        <w:t xml:space="preserve">This dual role—serving corporate giants and individual citizens—is a defining feature of the legal landscape in</w:t>
      </w:r>
      <w:r>
        <w:t xml:space="preserve"> </w:t>
      </w:r>
      <w:r>
        <w:rPr>
          <w:bCs/>
          <w:b/>
        </w:rPr>
        <w:t xml:space="preserve">Germany Frankfurt</w:t>
      </w:r>
      <w:r>
        <w:t xml:space="preserve">. It underscores the idea that a</w:t>
      </w:r>
      <w:r>
        <w:t xml:space="preserve"> </w:t>
      </w:r>
      <w:r>
        <w:rPr>
          <w:bCs/>
          <w:b/>
        </w:rPr>
        <w:t xml:space="preserve">Lawyer</w:t>
      </w:r>
      <w:r>
        <w:t xml:space="preserve"> </w:t>
      </w:r>
      <w:r>
        <w:t xml:space="preserve">is not just an economic actor but a guardian of the rule of law. Academic discourse emphasizes the need for continuous dialogue between large firms and public interest groups to ensure equitable access to justice.</w:t>
      </w:r>
    </w:p>
    <w:bookmarkEnd w:id="27"/>
    <w:bookmarkStart w:id="28" w:name="conclusion"/>
    <w:p>
      <w:pPr>
        <w:pStyle w:val="Heading2"/>
      </w:pPr>
      <w:r>
        <w:t xml:space="preserve">7. Conclusion</w:t>
      </w:r>
    </w:p>
    <w:p>
      <w:pPr>
        <w:pStyle w:val="FirstParagraph"/>
      </w:pPr>
      <w:r>
        <w:t xml:space="preserve">In conclusion, the profession of</w:t>
      </w:r>
      <w:r>
        <w:t xml:space="preserve"> </w:t>
      </w:r>
      <w:r>
        <w:rPr>
          <w:bCs/>
          <w:b/>
        </w:rPr>
        <w:t xml:space="preserve">Lawyer</w:t>
      </w:r>
      <w:r>
        <w:t xml:space="preserve"> </w:t>
      </w:r>
      <w:r>
        <w:t xml:space="preserve">in</w:t>
      </w:r>
      <w:r>
        <w:t xml:space="preserve"> </w:t>
      </w:r>
      <w:r>
        <w:rPr>
          <w:bCs/>
          <w:b/>
        </w:rPr>
        <w:t xml:space="preserve">Germany Frankfurt</w:t>
      </w:r>
      <w:r>
        <w:t xml:space="preserve"> </w:t>
      </w:r>
      <w:r>
        <w:t xml:space="preserve">is dynamic, complex, and increasingly specialized. The city’s status as a financial hub dictates much of the work performed by legal practitioners, who must balance traditional German legal standards with international commercial expectations. As globalization continues to reshape economic landscapes, the demands on</w:t>
      </w:r>
      <w:r>
        <w:t xml:space="preserve"> </w:t>
      </w:r>
      <w:r>
        <w:rPr>
          <w:bCs/>
          <w:b/>
        </w:rPr>
        <w:t xml:space="preserve">Lawyer</w:t>
      </w:r>
      <w:r>
        <w:t xml:space="preserve">s in this region will only grow more demanding.</w:t>
      </w:r>
    </w:p>
    <w:p>
      <w:pPr>
        <w:pStyle w:val="BodyText"/>
      </w:pPr>
      <w:r>
        <w:t xml:space="preserve">Future research should focus on longitudinal studies tracking career trajectories and satisfaction levels of</w:t>
      </w:r>
      <w:r>
        <w:t xml:space="preserve"> </w:t>
      </w:r>
      <w:r>
        <w:rPr>
          <w:bCs/>
          <w:b/>
        </w:rPr>
        <w:t xml:space="preserve">Lawyer</w:t>
      </w:r>
      <w:r>
        <w:t xml:space="preserve">s in</w:t>
      </w:r>
      <w:r>
        <w:t xml:space="preserve"> </w:t>
      </w:r>
      <w:r>
        <w:rPr>
          <w:bCs/>
          <w:b/>
        </w:rPr>
        <w:t xml:space="preserve">Germany Frankfurt</w:t>
      </w:r>
      <w:r>
        <w:t xml:space="preserve">, particularly regarding work-life balance and mental health pressures inherent in high-stakes financial legal practice. Furthermore, exploring the impact of post-Brexit regulatory shifts on Frankfurt’s position relative to London offers a compelling area for further academic inquiry.</w:t>
      </w:r>
    </w:p>
    <w:bookmarkEnd w:id="28"/>
    <w:bookmarkStart w:id="29" w:name="references-selected"/>
    <w:p>
      <w:pPr>
        <w:pStyle w:val="Heading2"/>
      </w:pPr>
      <w:r>
        <w:t xml:space="preserve">References (Selected)</w:t>
      </w:r>
    </w:p>
    <w:p>
      <w:pPr>
        <w:pStyle w:val="FirstParagraph"/>
      </w:pPr>
      <w:r>
        <w:rPr>
          <w:iCs/>
          <w:i/>
        </w:rPr>
        <w:t xml:space="preserve">Braun, M. (2021). Banking Law and Compliance in Frankfurt: A Regional Analysis. Journal of European Financial Regulation.</w:t>
      </w:r>
    </w:p>
    <w:p>
      <w:pPr>
        <w:pStyle w:val="BodyText"/>
      </w:pPr>
      <w:r>
        <w:rPr>
          <w:iCs/>
          <w:i/>
        </w:rPr>
        <w:t xml:space="preserve">Müller, K., &amp; Schmidt, L. (2019). The International Lawyer in Civil Law Jurisdictions: Challenges for Practitioners in Germany. Heidelberg University Press.</w:t>
      </w:r>
    </w:p>
    <w:p>
      <w:pPr>
        <w:pStyle w:val="BodyText"/>
      </w:pPr>
      <w:r>
        <w:rPr>
          <w:iCs/>
          <w:i/>
        </w:rPr>
        <w:t xml:space="preserve">Bundesrechtsanwaltskammer. (2023). Annual Report on Legal Practice Standards and Ethics.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Legal Representation in Germany Frankfurt: A Critical Academic Analysis</dc:title>
  <dc:creator/>
  <dc:language>en</dc:language>
  <cp:keywords/>
  <dcterms:created xsi:type="dcterms:W3CDTF">2026-07-30T06:41:34Z</dcterms:created>
  <dcterms:modified xsi:type="dcterms:W3CDTF">2026-07-30T06:41:34Z</dcterms:modified>
</cp:coreProperties>
</file>

<file path=docProps/custom.xml><?xml version="1.0" encoding="utf-8"?>
<Properties xmlns="http://schemas.openxmlformats.org/officeDocument/2006/custom-properties" xmlns:vt="http://schemas.openxmlformats.org/officeDocument/2006/docPropsVTypes"/>
</file>