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845ba44920ba7551dca564acf2e82323164dc1e"/>
    <w:p>
      <w:pPr>
        <w:pStyle w:val="Heading1"/>
      </w:pPr>
      <w:r>
        <w:t xml:space="preserve">The Evolution of Legal Advocacy in the Bombay High Court: Challenges and Opportunities for Lawyers in India Mumbai</w:t>
      </w:r>
    </w:p>
    <w:bookmarkStart w:id="34" w:name="X14a6478bd0f48b8d1b3545e2dc1b0c80a751d96"/>
    <w:p>
      <w:pPr>
        <w:pStyle w:val="Heading2"/>
      </w:pPr>
      <w:r>
        <w:t xml:space="preserve">A Critical Analysis of Procedural Complexities, Ethical Standards, and Technological Integration within the Indian Jurisprudential Framework</w:t>
      </w:r>
    </w:p>
    <w:p>
      <w:pPr>
        <w:pStyle w:val="FirstParagraph"/>
      </w:pPr>
      <w:r>
        <w:rPr>
          <w:bCs/>
          <w:b/>
        </w:rPr>
        <w:t xml:space="preserve">Author:</w:t>
      </w:r>
      <w:r>
        <w:t xml:space="preserve"> </w:t>
      </w:r>
      <w:r>
        <w:t xml:space="preserve">Dr. Arjun Mehta</w:t>
      </w:r>
      <w:r>
        <w:br/>
      </w:r>
      <w:r>
        <w:rPr>
          <w:iCs/>
          <w:i/>
        </w:rPr>
        <w:t xml:space="preserve">School of Law, Mumbai University</w:t>
      </w:r>
    </w:p>
    <w:bookmarkStart w:id="20" w:name="abstract"/>
    <w:p>
      <w:pPr>
        <w:pStyle w:val="Heading3"/>
      </w:pPr>
      <w:r>
        <w:t xml:space="preserve">Abstract</w:t>
      </w:r>
    </w:p>
    <w:p>
      <w:pPr>
        <w:pStyle w:val="FirstParagraph"/>
      </w:pPr>
      <w:r>
        <w:t xml:space="preserve">The legal landscape of India Mumbai serves as a microcosm for the broader judicial challenges and reforms occurring across the Republic of India. As the commercial capital and home to one of the busiest High Courts in Asia, Mumbai represents a critical nexus where traditional common law practices intersect with rapid modernization, digital transformation, and immense caseload pressures. This article critically examines the role of lawyers operating within this dynamic environment. It explores three primary dimensions: first, the procedural intricacies specific to litigation in India Mumbai; second, the ethical dilemmas faced by legal practitioners amidst a competitive bar; and third, the impact of technological adoption on advocacy skills and access to justice. Through a doctrinal analysis of recent case laws and observational studies of court behaviors in Mumbai, this paper argues that while lawyers in India Mumbai face structural inefficiencies, they are increasingly becoming agents of judicial reform through strategic litigation and digital integration.</w:t>
      </w:r>
    </w:p>
    <w:bookmarkEnd w:id="20"/>
    <w:bookmarkStart w:id="21" w:name="introduction"/>
    <w:p>
      <w:pPr>
        <w:pStyle w:val="Heading3"/>
      </w:pPr>
      <w:r>
        <w:t xml:space="preserve">1. Introduction</w:t>
      </w:r>
    </w:p>
    <w:p>
      <w:pPr>
        <w:pStyle w:val="FirstParagraph"/>
      </w:pPr>
      <w:r>
        <w:t xml:space="preserve">The profession of law in India is governed by a complex hierarchy of statutes, including the Advocates Act, 1961, which establishes the Bar Councils to regulate legal practice. However, no region exemplifies the tension between statutory regulation and practical reality more vividly than India Mumbai. The Bombay High Court, with its bench in Mumbai and Nagpur, handles a staggering volume of civil, criminal, constitutional writs every year. For lawyers in India Mumbai, the daily practice is not merely about interpreting statutes but navigating a labyrinthine administrative system that often tests the endurance of legal practitioners.</w:t>
      </w:r>
    </w:p>
    <w:p>
      <w:pPr>
        <w:pStyle w:val="BodyText"/>
      </w:pPr>
      <w:r>
        <w:t xml:space="preserve">This academic inquiry seeks to understand how lawyers adapt to these conditions. The term "lawyer" here encompasses both advocates enrolled with the Bar Council of Maharashtra and Goa, as well as legal consultants operating within Mumbai’s burgeoning corporate sector. The context of India Mumbai is crucial because it represents a unique blend of historic colonial infrastructure and cutting-edge financial commerce. Consequently, the lawyers practicing here must possess dual competencies: deep knowledge of traditional procedural law and acute awareness of modern corporate compliance.</w:t>
      </w:r>
    </w:p>
    <w:bookmarkEnd w:id="21"/>
    <w:bookmarkStart w:id="24" w:name="X79166af8f1df7128ae72bb7ed9b91157d6c05a5"/>
    <w:p>
      <w:pPr>
        <w:pStyle w:val="Heading3"/>
      </w:pPr>
      <w:r>
        <w:t xml:space="preserve">2. Procedural Complexities in the Indian Judicial System</w:t>
      </w:r>
    </w:p>
    <w:p>
      <w:pPr>
        <w:pStyle w:val="FirstParagraph"/>
      </w:pPr>
      <w:r>
        <w:t xml:space="preserve">A defining characteristic of legal practice in India Mumbai is the sheer volume of pending cases. The Bombay High Court frequently cites thousands of matters awaiting hearing. For a lawyer, this creates a unique strategic dynamic where case management becomes as important as legal argumentation.</w:t>
      </w:r>
    </w:p>
    <w:bookmarkStart w:id="22" w:name="case-backlog-and-adjournments"/>
    <w:p>
      <w:pPr>
        <w:pStyle w:val="Heading4"/>
      </w:pPr>
      <w:r>
        <w:t xml:space="preserve">2.1 Case Backlog and Adjournments</w:t>
      </w:r>
    </w:p>
    <w:p>
      <w:pPr>
        <w:pStyle w:val="FirstParagraph"/>
      </w:pPr>
      <w:r>
        <w:t xml:space="preserve">In the context of India Mumbai, the phenomenon of "file pushing" is prevalent. Lawyers often find themselves engaged in procedural maneuvers to secure favorable dates for hearing rather than substantive debate on merits. This has led to criticism from senior judges regarding the conduct of certain legal practitioners. However, it also reflects a rational response by lawyers to a system where delay is institutionalized.</w:t>
      </w:r>
    </w:p>
    <w:bookmarkEnd w:id="22"/>
    <w:bookmarkStart w:id="23" w:name="X5ff0ff502ec4d47e4a39931fe20c4e1367c3465"/>
    <w:p>
      <w:pPr>
        <w:pStyle w:val="Heading4"/>
      </w:pPr>
      <w:r>
        <w:t xml:space="preserve">2.2 The Role of Alternative Dispute Resolution (ADR)</w:t>
      </w:r>
    </w:p>
    <w:p>
      <w:pPr>
        <w:pStyle w:val="FirstParagraph"/>
      </w:pPr>
      <w:r>
        <w:t xml:space="preserve">In response to these delays, the judiciary in India Mumbai has aggressively promoted Alternative Dispute Resolution mechanisms. Lawyers are increasingly expected to guide clients toward mediation and arbitration under the Arbitration and Conciliation Act. In Mumbai’s corporate district, this shift is most visible. The role of the lawyer has expanded from courtroom advocate to negotiator and mediator, requiring a broader skill set than traditional litigation training provides.</w:t>
      </w:r>
    </w:p>
    <w:bookmarkEnd w:id="23"/>
    <w:bookmarkEnd w:id="24"/>
    <w:bookmarkStart w:id="27" w:name="Xaeaa245475b02c68eb48fb791cd2d45c6f18a3e"/>
    <w:p>
      <w:pPr>
        <w:pStyle w:val="Heading3"/>
      </w:pPr>
      <w:r>
        <w:t xml:space="preserve">3. Ethical Dimensions and Professional Conduct</w:t>
      </w:r>
    </w:p>
    <w:p>
      <w:pPr>
        <w:pStyle w:val="FirstParagraph"/>
      </w:pPr>
      <w:r>
        <w:t xml:space="preserve">The ethical framework governing lawyers in India Mumbai is stringent, yet practical realities often blur the lines of professional conduct. The Bar Council of India mandates strict adherence to professional ethics, including prohibition on solicitation and maintaining confidentiality.</w:t>
      </w:r>
    </w:p>
    <w:bookmarkStart w:id="25" w:name="solicitation-and-marketing"/>
    <w:p>
      <w:pPr>
        <w:pStyle w:val="Heading4"/>
      </w:pPr>
      <w:r>
        <w:t xml:space="preserve">3.1 Solicitation and Marketing</w:t>
      </w:r>
    </w:p>
    <w:p>
      <w:pPr>
        <w:pStyle w:val="FirstParagraph"/>
      </w:pPr>
      <w:r>
        <w:t xml:space="preserve">A contentious issue for lawyers in India Mumbai is the balance between professional dignity and the need for visibility. With millions of residents seeking legal recourse, many lawyers rely on digital platforms to advertise their services. While traditional solicitation (handing out cards or approaching clients directly) is prohibited, social media marketing has created a grey area. Recent disciplinary cases in the Bombay High Court highlight the tension between maintaining decorum and ensuring access to justice for marginalized groups who may not have direct connections to established senior advocates.</w:t>
      </w:r>
    </w:p>
    <w:bookmarkEnd w:id="25"/>
    <w:bookmarkStart w:id="26" w:name="conflict-of-interest"/>
    <w:p>
      <w:pPr>
        <w:pStyle w:val="Heading4"/>
      </w:pPr>
      <w:r>
        <w:t xml:space="preserve">3.2 Conflict of Interest</w:t>
      </w:r>
    </w:p>
    <w:p>
      <w:pPr>
        <w:pStyle w:val="FirstParagraph"/>
      </w:pPr>
      <w:r>
        <w:t xml:space="preserve">In a city dominated by large corporate houses and complex financial transactions, conflicts of interest are frequent. Lawyers in India Mumbai must navigate situations where their duties to one client may inadvertently harm another, particularly in merger and acquisition cases involving entities with overlapping stakeholder interests. The enforcement of these ethical norms remains challenging due to the sheer number of practitioners relative to disciplinary officers.</w:t>
      </w:r>
    </w:p>
    <w:bookmarkEnd w:id="26"/>
    <w:bookmarkEnd w:id="27"/>
    <w:bookmarkStart w:id="30" w:name="technological-integration-and-legal-tech"/>
    <w:p>
      <w:pPr>
        <w:pStyle w:val="Heading3"/>
      </w:pPr>
      <w:r>
        <w:t xml:space="preserve">4. Technological Integration and Legal Tech</w:t>
      </w:r>
    </w:p>
    <w:p>
      <w:pPr>
        <w:pStyle w:val="FirstParagraph"/>
      </w:pPr>
      <w:r>
        <w:t xml:space="preserve">The post-pandemic era has accelerated the digital transformation of legal practice in India Mumbai. The Bombay High Court’s initiative to digitize records and conduct virtual hearings has necessitated a rapid upskilling of lawyers.</w:t>
      </w:r>
    </w:p>
    <w:bookmarkStart w:id="28" w:name="e-litigation"/>
    <w:p>
      <w:pPr>
        <w:pStyle w:val="Heading4"/>
      </w:pPr>
      <w:r>
        <w:t xml:space="preserve">4.1 E-Litigation</w:t>
      </w:r>
    </w:p>
    <w:bookmarkEnd w:id="28"/>
    <w:bookmarkStart w:id="29" w:name="legal-research-tools"/>
    <w:p>
      <w:pPr>
        <w:pStyle w:val="Heading4"/>
      </w:pPr>
      <w:r>
        <w:t xml:space="preserve">4.2 Legal Research Tools</w:t>
      </w:r>
    </w:p>
    <w:p>
      <w:pPr>
        <w:pStyle w:val="FirstParagraph"/>
      </w:pPr>
      <w:r>
        <w:t xml:space="preserve">The adoption of AI-driven legal research platforms is transforming how lawyers in India Mumbai construct arguments. Traditional reliance on physical law reporters is being supplemented by instant access to databases like SCC Online and Manupatra. This efficiency allows lawyers to focus more on strategic application of law rather than mere retrieval, thereby enhancing the quality of advocacy.</w:t>
      </w:r>
    </w:p>
    <w:bookmarkEnd w:id="29"/>
    <w:bookmarkEnd w:id="30"/>
    <w:bookmarkStart w:id="31" w:name="socio-legal-impact-and-access-to-justice"/>
    <w:p>
      <w:pPr>
        <w:pStyle w:val="Heading3"/>
      </w:pPr>
      <w:r>
        <w:t xml:space="preserve">5. Socio-Legal Impact and Access to Justice</w:t>
      </w:r>
    </w:p>
    <w:p>
      <w:pPr>
        <w:pStyle w:val="FirstParagraph"/>
      </w:pPr>
      <w:r>
        <w:t xml:space="preserve">Beyond corporate practice, lawyers in India Mumbai play a pivotal role in Public Interest Litigation (PIL). The Bombay High Court has been instrumental in adjudicating issues related to environmental protection, slum rehabilitation, and labor rights. Lawyers acting as pro bono advocates are essential in bridging the gap between the legal system and the underprivileged sections of Mumbai’s population. These lawyers often face significant personal risk but contribute substantially to social justice.</w:t>
      </w:r>
    </w:p>
    <w:bookmarkEnd w:id="31"/>
    <w:bookmarkStart w:id="32" w:name="conclusion"/>
    <w:p>
      <w:pPr>
        <w:pStyle w:val="Heading3"/>
      </w:pPr>
      <w:r>
        <w:t xml:space="preserve">6. Conclusion</w:t>
      </w:r>
    </w:p>
    <w:p>
      <w:pPr>
        <w:pStyle w:val="FirstParagraph"/>
      </w:pPr>
      <w:r>
        <w:t xml:space="preserve">In conclusion, the role of lawyers in India Mumbai is multifaceted and evolving. They are not merely agents of private clients but key stakeholders in the functioning of a critical judicial hub. While challenges such as case backlog, ethical ambiguities, and technological disparities remain pressing issues, there is a growing trend toward professionalization and digital integration. Future reforms must focus on reducing procedural delays through strict court management and enhancing legal education to include technology and ethics comprehensively. For lawyers in India Mumbai to thrive, they must adapt to these changes while upholding the core values of justice, fairness, and integrity that define the legal profession.</w:t>
      </w:r>
    </w:p>
    <w:bookmarkEnd w:id="32"/>
    <w:bookmarkStart w:id="33" w:name="references"/>
    <w:p>
      <w:pPr>
        <w:pStyle w:val="Heading3"/>
      </w:pPr>
      <w:r>
        <w:t xml:space="preserve">References</w:t>
      </w:r>
    </w:p>
    <w:p>
      <w:pPr>
        <w:numPr>
          <w:ilvl w:val="0"/>
          <w:numId w:val="1001"/>
        </w:numPr>
        <w:pStyle w:val="Compact"/>
      </w:pPr>
      <w:r>
        <w:t xml:space="preserve">Anand, S. (2021).</w:t>
      </w:r>
      <w:r>
        <w:t xml:space="preserve"> </w:t>
      </w:r>
      <w:r>
        <w:rPr>
          <w:iCs/>
          <w:i/>
        </w:rPr>
        <w:t xml:space="preserve">The Impact of Digital Courts on Legal Practice in India</w:t>
      </w:r>
      <w:r>
        <w:t xml:space="preserve">. Indian Journal of Law and Technology.</w:t>
      </w:r>
    </w:p>
    <w:p>
      <w:pPr>
        <w:numPr>
          <w:ilvl w:val="0"/>
          <w:numId w:val="1001"/>
        </w:numPr>
        <w:pStyle w:val="Compact"/>
      </w:pPr>
      <w:r>
        <w:t xml:space="preserve">Bombay High Court Official Website. (2023).</w:t>
      </w:r>
      <w:r>
        <w:t xml:space="preserve"> </w:t>
      </w:r>
      <w:r>
        <w:rPr>
          <w:iCs/>
          <w:i/>
        </w:rPr>
        <w:t xml:space="preserve">Caseload Statistics and Annual Reports</w:t>
      </w:r>
      <w:r>
        <w:t xml:space="preserve">.</w:t>
      </w:r>
    </w:p>
    <w:p>
      <w:pPr>
        <w:numPr>
          <w:ilvl w:val="0"/>
          <w:numId w:val="1001"/>
        </w:numPr>
        <w:pStyle w:val="Compact"/>
      </w:pPr>
      <w:r>
        <w:t xml:space="preserve">Gupta, R. &amp; Singh, P. (2019).</w:t>
      </w:r>
      <w:r>
        <w:t xml:space="preserve"> </w:t>
      </w:r>
      <w:r>
        <w:rPr>
          <w:iCs/>
          <w:i/>
        </w:rPr>
        <w:t xml:space="preserve">Ethical Dilemmas in Modern Indian Advocacy</w:t>
      </w:r>
      <w:r>
        <w:t xml:space="preserve">. New Delhi: Central Law Agency.</w:t>
      </w:r>
    </w:p>
    <w:p>
      <w:pPr>
        <w:numPr>
          <w:ilvl w:val="0"/>
          <w:numId w:val="1001"/>
        </w:numPr>
        <w:pStyle w:val="Compact"/>
      </w:pPr>
      <w:r>
        <w:t xml:space="preserve">National Judicial Data Grid. (2023).</w:t>
      </w:r>
      <w:r>
        <w:t xml:space="preserve"> </w:t>
      </w:r>
      <w:r>
        <w:rPr>
          <w:iCs/>
          <w:i/>
        </w:rPr>
        <w:t xml:space="preserve">Pendency Data Analysis for Maharashtra Districts and High Court</w:t>
      </w:r>
      <w:r>
        <w:t xml:space="preserve">.</w:t>
      </w:r>
    </w:p>
    <w:p>
      <w:pPr>
        <w:numPr>
          <w:ilvl w:val="0"/>
          <w:numId w:val="1001"/>
        </w:numPr>
        <w:pStyle w:val="Compact"/>
      </w:pPr>
      <w:r>
        <w:t xml:space="preserve">Rao, K. V. (2015).</w:t>
      </w:r>
      <w:r>
        <w:t xml:space="preserve"> </w:t>
      </w:r>
      <w:r>
        <w:rPr>
          <w:iCs/>
          <w:i/>
        </w:rPr>
        <w:t xml:space="preserve">The Advocates Act, 1961: A Critical Commentary</w:t>
      </w:r>
      <w:r>
        <w:t xml:space="preserve">. Mumbai: Bar Council Publications.</w:t>
      </w:r>
    </w:p>
    <w:p>
      <w:pPr>
        <w:pStyle w:val="FirstParagraph"/>
      </w:pPr>
      <w:r>
        <w:rPr>
          <w:bCs/>
          <w:b/>
        </w:rPr>
        <w:t xml:space="preserve">Note:</w:t>
      </w:r>
      <w:r>
        <w:t xml:space="preserve"> </w:t>
      </w:r>
      <w:r>
        <w:t xml:space="preserve">This document is an academic simulation. All names and specific unpublished data are illustrative for the purpose of this format.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2026-07-29T13:21:01Z</dcterms:created>
  <dcterms:modified xsi:type="dcterms:W3CDTF">2026-07-29T13:21:01Z</dcterms:modified>
</cp:coreProperties>
</file>

<file path=docProps/custom.xml><?xml version="1.0" encoding="utf-8"?>
<Properties xmlns="http://schemas.openxmlformats.org/officeDocument/2006/custom-properties" xmlns:vt="http://schemas.openxmlformats.org/officeDocument/2006/docPropsVTypes"/>
</file>