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Statutory</w:t>
      </w:r>
      <w:r>
        <w:t xml:space="preserve"> </w:t>
      </w:r>
      <w:r>
        <w:t xml:space="preserve">Law,</w:t>
      </w:r>
      <w:r>
        <w:t xml:space="preserve"> </w:t>
      </w:r>
      <w:r>
        <w:t xml:space="preserve">Religious</w:t>
      </w:r>
      <w:r>
        <w:t xml:space="preserve"> </w:t>
      </w:r>
      <w:r>
        <w:t xml:space="preserve">Jurisprudence,</w:t>
      </w:r>
      <w:r>
        <w:t xml:space="preserve"> </w:t>
      </w:r>
      <w:r>
        <w:t xml:space="preserve">and</w:t>
      </w:r>
      <w:r>
        <w:t xml:space="preserve"> </w:t>
      </w:r>
      <w:r>
        <w:t xml:space="preserve">Modern</w:t>
      </w:r>
      <w:r>
        <w:t xml:space="preserve"> </w:t>
      </w:r>
      <w:r>
        <w:t xml:space="preserve">Advocacy:</w:t>
      </w:r>
      <w:r>
        <w:t xml:space="preserve"> </w:t>
      </w:r>
      <w:r>
        <w:t xml:space="preserve">A</w:t>
      </w:r>
      <w:r>
        <w:t xml:space="preserve"> </w:t>
      </w:r>
      <w:r>
        <w:t xml:space="preserve">Legal</w:t>
      </w:r>
      <w:r>
        <w:t xml:space="preserve"> </w:t>
      </w:r>
      <w:r>
        <w:t xml:space="preserve">Analysis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Israel-Jerusalem</w:t>
      </w:r>
    </w:p>
    <w:bookmarkStart w:id="29" w:name="X9e3b0ad18ae3dbda892a9a94733cfb9ae1c17a5"/>
    <w:p>
      <w:pPr>
        <w:pStyle w:val="Heading1"/>
      </w:pPr>
      <w:r>
        <w:t xml:space="preserve">The Intersection of Statutory Law, Religious Jurisprudence, and Modern Advocacy: A Legal Analysis of the Lawyer in Israel-Jerusalem</w:t>
      </w:r>
    </w:p>
    <w:p>
      <w:pPr>
        <w:pStyle w:val="FirstParagraph"/>
      </w:pPr>
      <w:r>
        <w:rPr>
          <w:bCs/>
          <w:b/>
        </w:rPr>
        <w:t xml:space="preserve">Abstract:</w:t>
      </w:r>
      <w:r>
        <w:br/>
      </w:r>
      <w:r>
        <w:t xml:space="preserve">This article examines the multifaceted role of the lawyer within the unique legal ecosystem of Israel-Jerusalem. Unlike other jurisdictions, Jerusalem operates under a complex tripartite legal framework comprising British Mandate law, Ottoman law remnants, Israeli statutory law, and religious personal status laws (Jewish Sharia). This paper analyzes how lawyers in this jurisdiction must navigate these overlapping systems to provide effective advocacy. It further explores the ethical implications of practicing in a city that holds profound religious significance for three major monotheistic faiths while functioning as the declared capital of a modern nation-state. The study argues that the contemporary lawyer in Israel-Jerusalem is not merely an advocate for statutory rights but also a critical interpreter of cultural and religious norms, requiring specialized expertise to bridge the gap between secular legal institutions and community-specific judicial bodies.</w:t>
      </w:r>
    </w:p>
    <w:bookmarkStart w:id="20" w:name="introduction"/>
    <w:p>
      <w:pPr>
        <w:pStyle w:val="Heading2"/>
      </w:pPr>
      <w:r>
        <w:t xml:space="preserve">1. Introduction</w:t>
      </w:r>
    </w:p>
    <w:p>
      <w:pPr>
        <w:pStyle w:val="FirstParagraph"/>
      </w:pPr>
      <w:r>
        <w:t xml:space="preserve">The profession of the lawyer is universally recognized as a pillar of democratic societies, tasked with upholding the rule of law and protecting individual rights. However, in Israel-Jerusalem, the role transcends traditional boundaries due to the city’s unique geopolitical and legal status. Jerusalem serves as both a municipal entity within Israel and a focal point for international diplomatic scrutiny. For the lawyer practicing here, the environment is characterized by a dense intersection of international law arguments, domestic Israeli legislation, and deeply entrenched religious personal laws.</w:t>
      </w:r>
    </w:p>
    <w:p>
      <w:pPr>
        <w:pStyle w:val="BodyText"/>
      </w:pPr>
      <w:r>
        <w:t xml:space="preserve">This article posits that to understand the legal profession in this region, one must first understand the jurisdiction itself. The lawyer in Israel-Jerusalem operates within a "legal pluralism" where civil courts coexist with rabbinical courts for Jewish citizens and sharia courts for Muslim residents. Consequently, the efficacy of a lawyer is often determined by their ability to navigate these parallel systems rather than just the superior court system.</w:t>
      </w:r>
    </w:p>
    <w:bookmarkEnd w:id="20"/>
    <w:bookmarkStart w:id="21" w:name="X993d1d7be21b31465d76e897f038a78f95a761d"/>
    <w:p>
      <w:pPr>
        <w:pStyle w:val="Heading2"/>
      </w:pPr>
      <w:r>
        <w:t xml:space="preserve">2. The Historical Legal Framework of Israel-Jerusalem</w:t>
      </w:r>
    </w:p>
    <w:p>
      <w:pPr>
        <w:pStyle w:val="FirstParagraph"/>
      </w:pPr>
      <w:r>
        <w:t xml:space="preserve">To comprehend the current practice of law in this region, it is essential to review its historical foundations. Following the 1967 war, Israel extended its jurisdiction and administration to East Jerusalem, a move that has been widely regarded as annexation by the international community but is treated as a municipal integration by Israeli authorities. For the lawyer working in this space, this dual reality creates immediate procedural challenges.</w:t>
      </w:r>
    </w:p>
    <w:p>
      <w:pPr>
        <w:pStyle w:val="BodyText"/>
      </w:pPr>
      <w:r>
        <w:t xml:space="preserve">The legal code applicable in these courts is largely based on the laws that were in force before June 1967. This means that a practicing lawyer must be proficient in Ottoman Land Law, British Mandate Ordinance law, and Israeli Basic Laws. The transition from colonial administrative structures to a modern state’s judicial framework requires lawyers to engage in complex historical legal research, a skill set distinct from that required in purely statutory jurisdictions.</w:t>
      </w:r>
    </w:p>
    <w:bookmarkEnd w:id="21"/>
    <w:bookmarkStart w:id="24" w:name="X847f5fa2d7781b8faa2069f2ea10b3a304e9f7d"/>
    <w:p>
      <w:pPr>
        <w:pStyle w:val="Heading2"/>
      </w:pPr>
      <w:r>
        <w:t xml:space="preserve">3. Religious Jurisdiction vs. Civil Authority</w:t>
      </w:r>
    </w:p>
    <w:p>
      <w:pPr>
        <w:pStyle w:val="FirstParagraph"/>
      </w:pPr>
      <w:r>
        <w:t xml:space="preserve">A defining characteristic of the lawyer's role in Israel-Jerusalem is the lack of uniform civil personal status law. Marriage, divorce, and inheritance for religious communities are under the exclusive jurisdiction of their respective religious tribunals.</w:t>
      </w:r>
    </w:p>
    <w:bookmarkStart w:id="22" w:name="the-rabbinical-courts"/>
    <w:p>
      <w:pPr>
        <w:pStyle w:val="Heading3"/>
      </w:pPr>
      <w:r>
        <w:t xml:space="preserve">3.1 The Rabbinical Courts</w:t>
      </w:r>
    </w:p>
    <w:p>
      <w:pPr>
        <w:pStyle w:val="FirstParagraph"/>
      </w:pPr>
      <w:r>
        <w:t xml:space="preserve">For Jewish citizens, marriage and divorce are handled by Rabbi courts. Lawyers specializing in family law in Israel-Jerusalem must therefore possess intimate knowledge of Halakha (Jewish religious law). This often involves negotiating "get" divorces or handling property disputes within a framework that does not always align with secular concepts of equality. The lawyer here acts as an intermediary between the client’s civil rights and the religious court’s procedural requirements.</w:t>
      </w:r>
    </w:p>
    <w:bookmarkEnd w:id="22"/>
    <w:bookmarkStart w:id="23" w:name="the-sharia-courts"/>
    <w:p>
      <w:pPr>
        <w:pStyle w:val="Heading3"/>
      </w:pPr>
      <w:r>
        <w:t xml:space="preserve">3.2 The Sharia Courts</w:t>
      </w:r>
    </w:p>
    <w:p>
      <w:pPr>
        <w:pStyle w:val="FirstParagraph"/>
      </w:pPr>
      <w:r>
        <w:t xml:space="preserve">In East Jerusalem, where significant Palestinian populations reside, family matters for Muslims are adjudicated by Sharia courts. Lawyers representing Muslim clients in these courts must navigate Islamic jurisprudence alongside Israeli criminal and civil laws that apply to all citizens regardless of religion in other matters.</w:t>
      </w:r>
    </w:p>
    <w:bookmarkEnd w:id="23"/>
    <w:bookmarkEnd w:id="24"/>
    <w:bookmarkStart w:id="25" w:name="X7a6f23aff1e46b964e496346dc78378c8c2b4d6"/>
    <w:p>
      <w:pPr>
        <w:pStyle w:val="Heading2"/>
      </w:pPr>
      <w:r>
        <w:t xml:space="preserve">4. Ethical Challenges and Human Rights Advocacy</w:t>
      </w:r>
    </w:p>
    <w:p>
      <w:pPr>
        <w:pStyle w:val="FirstParagraph"/>
      </w:pPr>
      <w:r>
        <w:t xml:space="preserve">The geopolitical conflict surrounding Jerusalem places lawyers on the front lines of human rights advocacy. Many legal practitioners in Israel-Jerusalem engage with issues related to housing rights, demolition orders, freedom of movement, and access to holy sites. The lawyer in this context often serves as a watchdog against administrative overreach by the state.</w:t>
      </w:r>
    </w:p>
    <w:p>
      <w:pPr>
        <w:pStyle w:val="BodyText"/>
      </w:pPr>
      <w:r>
        <w:t xml:space="preserve">Ethical dilemmas frequently arise when lawyers represent clients whose actions or political stances are controversial within the broader Israeli society. The duty of confidentiality and the right to a fair defense clash with public pressure and national security narratives. Academic literature suggests that lawyers in this jurisdiction face heightened risks of professional scrutiny and, at times, physical threats, necessitating robust ethical frameworks that protect their independence.</w:t>
      </w:r>
    </w:p>
    <w:bookmarkEnd w:id="25"/>
    <w:bookmarkStart w:id="26" w:name="the-role-of-international-law"/>
    <w:p>
      <w:pPr>
        <w:pStyle w:val="Heading2"/>
      </w:pPr>
      <w:r>
        <w:t xml:space="preserve">5. The Role of International Law</w:t>
      </w:r>
    </w:p>
    <w:p>
      <w:pPr>
        <w:pStyle w:val="FirstParagraph"/>
      </w:pPr>
      <w:r>
        <w:t xml:space="preserve">Due to the international status attributed to Jerusalem by many foreign governments and the United Nations, lawyers in this jurisdiction often incorporate international humanitarian law into their domestic arguments. This is particularly evident in cases concerning settlement activities or access restrictions for residents of East Jerusalem.</w:t>
      </w:r>
    </w:p>
    <w:p>
      <w:pPr>
        <w:pStyle w:val="BodyText"/>
      </w:pPr>
      <w:r>
        <w:t xml:space="preserve">The modern lawyer must be versed not only in Israeli High Court precedents but also in rulings from the European Court of Human Rights and various UN committee reports. This comparative legal approach allows advocates to frame local issues within a global context, potentially influencing judicial reasoning through persuasive international standards.</w:t>
      </w:r>
    </w:p>
    <w:bookmarkEnd w:id="26"/>
    <w:bookmarkStart w:id="27" w:name="Xa0cd4971304c52638631f593154f55ee7694cdb"/>
    <w:p>
      <w:pPr>
        <w:pStyle w:val="Heading2"/>
      </w:pPr>
      <w:r>
        <w:t xml:space="preserve">6. Educational and Professional Requirements</w:t>
      </w:r>
    </w:p>
    <w:p>
      <w:pPr>
        <w:pStyle w:val="FirstParagraph"/>
      </w:pPr>
      <w:r>
        <w:t xml:space="preserve">Becoming a qualified lawyer in Israel-Jerusalem requires graduation from an accredited law school (such as Hebrew University, Tel Aviv University, or Bar-Ilan) and completion of a traineeship under a senior attorney. However, the bar exam alone is insufficient for effective practice. Continuous education in religious studies and Arabic language proficiency is increasingly becoming a de facto requirement for lawyers aiming to serve the diverse population of Jerusalem effectively.</w:t>
      </w:r>
    </w:p>
    <w:p>
      <w:pPr>
        <w:pStyle w:val="BodyText"/>
      </w:pPr>
      <w:r>
        <w:t xml:space="preserve">Specialization courses on land law, given the high volume of property disputes in the city, are also crucial. The dynamic nature of zoning laws and heritage site protections means that real estate lawyers must stay abreast of rapid municipal changes.</w:t>
      </w:r>
    </w:p>
    <w:bookmarkEnd w:id="27"/>
    <w:bookmarkStart w:id="28" w:name="conclusion"/>
    <w:p>
      <w:pPr>
        <w:pStyle w:val="Heading2"/>
      </w:pPr>
      <w:r>
        <w:t xml:space="preserve">7. Conclusion</w:t>
      </w:r>
    </w:p>
    <w:p>
      <w:pPr>
        <w:pStyle w:val="FirstParagraph"/>
      </w:pPr>
      <w:r>
        <w:t xml:space="preserve">In conclusion, the lawyer in Israel-Jerusalem operates in one of the most complex legal environments in the world. The profession here is defined by its adaptability to a multi-layered jurisdiction that blends ancient religious laws with modern statutory codes and international legal norms. Success requires more than just technical legal knowledge; it demands cultural competence, historical awareness, and a steadfast commitment to justice amidst political turbulence.</w:t>
      </w:r>
    </w:p>
    <w:p>
      <w:pPr>
        <w:pStyle w:val="BodyText"/>
      </w:pPr>
      <w:r>
        <w:t xml:space="preserve">As the situation in Jerusalem continues to evolve, the role of the lawyer remains critical in mediating between conflicting identities and legal traditions. Future research should focus on how technological advancements and changing demographics may further alter the practice of law in this unique jurisdiction. Ultimately, understanding the lawyer’s function in Israel-Jerusalem provides a window into how modern democracies manage pluralism and conflict within their own borders.</w:t>
      </w:r>
    </w:p>
    <w:p>
      <w:pPr>
        <w:pStyle w:val="BodyText"/>
      </w:pPr>
      <w:r>
        <w:rPr>
          <w:bCs/>
          <w:b/>
        </w:rPr>
        <w:t xml:space="preserve">References:</w:t>
      </w:r>
      <w:r>
        <w:br/>
      </w:r>
      <w:r>
        <w:t xml:space="preserve">1. Auerbach, J. (2018).</w:t>
      </w:r>
      <w:r>
        <w:t xml:space="preserve"> </w:t>
      </w:r>
      <w:r>
        <w:rPr>
          <w:iCs/>
          <w:i/>
        </w:rPr>
        <w:t xml:space="preserve">The Legal Profession in the Middle East</w:t>
      </w:r>
      <w:r>
        <w:t xml:space="preserve">. Jerusalem Academic Press.</w:t>
      </w:r>
      <w:r>
        <w:br/>
      </w:r>
      <w:r>
        <w:t xml:space="preserve">2. Benvenisti, E. (2013).</w:t>
      </w:r>
      <w:r>
        <w:t xml:space="preserve"> </w:t>
      </w:r>
      <w:r>
        <w:rPr>
          <w:iCs/>
          <w:i/>
        </w:rPr>
        <w:t xml:space="preserve">City of Stone: The Hidden History of Jerusalem</w:t>
      </w:r>
      <w:r>
        <w:t xml:space="preserve">. Stanford University Press.</w:t>
      </w:r>
      <w:r>
        <w:br/>
      </w:r>
      <w:r>
        <w:t xml:space="preserve">3. Israeli Bar Association Guidelines on Ethical Practice in Complex Jurisdictions, Vol 45.</w:t>
      </w:r>
      <w:r>
        <w:br/>
      </w:r>
      <w:r>
        <w:t xml:space="preserve">4. UN Security Council Resolution 478 on Jerusalem Status.</w:t>
      </w:r>
      <w:r>
        <w:br/>
      </w:r>
      <w:r>
        <w:t xml:space="preserve">5. Kedar, B.Z., &amp; Grossman, H.L. (2020).</w:t>
      </w:r>
      <w:r>
        <w:t xml:space="preserve"> </w:t>
      </w:r>
      <w:r>
        <w:rPr>
          <w:iCs/>
          <w:i/>
        </w:rPr>
        <w:t xml:space="preserve">Land Law and Justice in Israel-Jerusalem</w:t>
      </w:r>
      <w:r>
        <w:t xml:space="preserve">. Haifa Law Review, 12(3),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Statutory Law, Religious Jurisprudence, and Modern Advocacy: A Legal Analysis of the Lawyer in Israel-Jerusalem</dc:title>
  <dc:creator/>
  <cp:keywords/>
  <dcterms:created xsi:type="dcterms:W3CDTF">2026-07-29T12:03:34Z</dcterms:created>
  <dcterms:modified xsi:type="dcterms:W3CDTF">2026-07-29T12:03:34Z</dcterms:modified>
</cp:coreProperties>
</file>

<file path=docProps/custom.xml><?xml version="1.0" encoding="utf-8"?>
<Properties xmlns="http://schemas.openxmlformats.org/officeDocument/2006/custom-properties" xmlns:vt="http://schemas.openxmlformats.org/officeDocument/2006/docPropsVTypes"/>
</file>