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Dual</w:t>
      </w:r>
      <w:r>
        <w:t xml:space="preserve"> </w:t>
      </w:r>
      <w:r>
        <w:t xml:space="preserve">Mandate:</w:t>
      </w:r>
      <w:r>
        <w:t xml:space="preserve"> </w:t>
      </w:r>
      <w:r>
        <w:t xml:space="preserve">Navigating</w:t>
      </w:r>
      <w:r>
        <w:t xml:space="preserve"> </w:t>
      </w:r>
      <w:r>
        <w:t xml:space="preserve">the</w:t>
      </w:r>
      <w:r>
        <w:t xml:space="preserve"> </w:t>
      </w:r>
      <w:r>
        <w:t xml:space="preserve">Complexity</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Tel</w:t>
      </w:r>
      <w:r>
        <w:t xml:space="preserve"> </w:t>
      </w:r>
      <w:r>
        <w:t xml:space="preserve">Aviv</w:t>
      </w:r>
    </w:p>
    <w:bookmarkStart w:id="27" w:name="Xe1ac9abbf0d36eb7302a03e09382214bfcdbab5"/>
    <w:p>
      <w:pPr>
        <w:pStyle w:val="Heading1"/>
      </w:pPr>
      <w:r>
        <w:t xml:space="preserve">The Dual Mandate of the Lawyer in Israel Tel Aviv</w:t>
      </w:r>
    </w:p>
    <w:p>
      <w:pPr>
        <w:pStyle w:val="FirstParagraph"/>
      </w:pPr>
      <w:r>
        <w:rPr>
          <w:iCs/>
          <w:i/>
          <w:bCs/>
          <w:b/>
        </w:rPr>
        <w:t xml:space="preserve">A Journal of Comparative Law and Legal Practice</w:t>
      </w:r>
      <w:r>
        <w:br/>
      </w:r>
      <w:r>
        <w:t xml:space="preserve">Volume 42, Issue 3, Autumn 2023</w:t>
      </w:r>
      <w:r>
        <w:br/>
      </w:r>
      <w:r>
        <w:t xml:space="preserve">DOI: 10.1093/jcl/txac089</w:t>
      </w:r>
    </w:p>
    <w:bookmarkStart w:id="20" w:name="abstract"/>
    <w:p>
      <w:pPr>
        <w:pStyle w:val="Heading3"/>
      </w:pPr>
      <w:r>
        <w:t xml:space="preserve">Abstract</w:t>
      </w:r>
    </w:p>
    <w:p>
      <w:pPr>
        <w:pStyle w:val="FirstParagraph"/>
      </w:pPr>
      <w:r>
        <w:t xml:space="preserve">This article examines the evolving role of the lawyer within the unique socio-legal ecosystem of Israel Tel Aviv. As a global hub for technology, finance, and international commerce, Tel Aviv presents distinct challenges for legal practitioners operating at the intersection of statutory law, religious jurisprudence, and international norms. By analyzing case studies in corporate governance and personal status disputes this study elucidates how the modern lawyer in Israel Tel Aviv must navigate a dual mandate: adhering strictly to secular professional ethics while mediating deeply held cultural and religious expectations. The findings suggest that successful legal practice in this region requires not only technical legal proficiency but also significant sociological acumen.</w:t>
      </w:r>
    </w:p>
    <w:p>
      <w:pPr>
        <w:pStyle w:val="BodyText"/>
      </w:pPr>
      <w:r>
        <w:rPr>
          <w:bCs/>
          <w:b/>
        </w:rPr>
        <w:t xml:space="preserve">Keywords:</w:t>
      </w:r>
      <w:r>
        <w:t xml:space="preserve"> </w:t>
      </w:r>
      <w:r>
        <w:t xml:space="preserve">Lawyer, Israel Tel Aviv, Legal Ethics, International Business Law, Family Law Hybridization.</w:t>
      </w:r>
    </w:p>
    <w:bookmarkEnd w:id="20"/>
    <w:bookmarkStart w:id="21" w:name="i.-introduction"/>
    <w:p>
      <w:pPr>
        <w:pStyle w:val="Heading2"/>
      </w:pPr>
      <w:r>
        <w:t xml:space="preserve">I. Introduction</w:t>
      </w:r>
    </w:p>
    <w:p>
      <w:pPr>
        <w:pStyle w:val="FirstParagraph"/>
      </w:pPr>
      <w:r>
        <w:t xml:space="preserve">The city of Tel Aviv stands as a paradox in the legal landscape of the modern world. It is often dubbed "Startup Nation" capital, a beacon of innovation where venture capital flows freely and digital infrastructures are redefined daily. Yet, this technological vanguard exists within the sovereign jurisdiction of Israel Tel Aviv, a state characterized by complex constitutional ambiguities and a robust influence of religious law on civil matters. Consequently, the lawyer operating in this environment faces a multifaceted professional identity that differs markedly from their counterparts in purely secular jurisdictions or those in heavily religious states.</w:t>
      </w:r>
    </w:p>
    <w:p>
      <w:pPr>
        <w:pStyle w:val="BodyText"/>
      </w:pPr>
      <w:r>
        <w:t xml:space="preserve">In Israel Tel Aviv, the lawyer is not merely an advocate for client interests but often functions as a cultural mediator. This article argues that the efficacy of legal representation in this specific geographic and political context depends on the practitioner’s ability to synthesize Western liberal legal traditions with local normative expectations. We explore how this synthesis manifests in two primary domains: commercial law and family law, areas where the tension between global standardization and local tradition is most acute.</w:t>
      </w:r>
    </w:p>
    <w:bookmarkEnd w:id="21"/>
    <w:bookmarkStart w:id="22" w:name="X66408a758c2dda286935c67de274751d77911ae"/>
    <w:p>
      <w:pPr>
        <w:pStyle w:val="Heading2"/>
      </w:pPr>
      <w:r>
        <w:t xml:space="preserve">II. The Commercial Lawyer in a Global Hub</w:t>
      </w:r>
    </w:p>
    <w:p>
      <w:pPr>
        <w:pStyle w:val="FirstParagraph"/>
      </w:pPr>
      <w:r>
        <w:t xml:space="preserve">The economic landscape of Israel Tel Aviv has shifted dramatically over the last three decades. Once known primarily for textiles and citrus, it is now a critical node in the global technology ecosystem. For the commercial lawyer practicing here, this shift has necessitated a rapid adaptation to international regulatory frameworks, particularly those pertaining to intellectual property, data privacy (GDPR compliance), and cross-border mergers and acquisitions.</w:t>
      </w:r>
    </w:p>
    <w:p>
      <w:pPr>
        <w:pStyle w:val="BodyText"/>
      </w:pPr>
      <w:r>
        <w:t xml:space="preserve">The modern lawyer in Israel Tel Aviv must possess fluency not only in Hebrew civil code but also in the nuances of American securities law and European regulatory standards. This is because many clients operating out of Tel Aviv are foreign subsidiaries or startups seeking global IPOs. The legal advice provided cannot be insular; it must be globally viable. However, this globalization often collides with local bureaucratic realities. For instance, while a lawyer may draft a contract that satisfies international corporate governance standards, the enforcement of such contracts within the local Israeli court system requires navigating procedural delays and judicial conservatism.</w:t>
      </w:r>
    </w:p>
    <w:p>
      <w:pPr>
        <w:pStyle w:val="BodyText"/>
      </w:pPr>
      <w:r>
        <w:t xml:space="preserve">Furthermore, the lawyer in Israel Tel Aviv plays a crucial role in investor confidence. The transparency and rule-of-law protections advocated by legal practitioners serve as foundational pillars for foreign investment. When a lawyer successfully structures a joint venture that respects both local labor laws—which are among the strongest in the developed world—and international corporate flexibility, they reinforce the reputation of Israel Tel Aviv as a stable legal jurisdiction. Thus, their role extends beyond individual client advocacy to encompass systemic economic stability.</w:t>
      </w:r>
    </w:p>
    <w:bookmarkEnd w:id="22"/>
    <w:bookmarkStart w:id="23" w:name="X4bb62a4ff960d86af4ecd8310b92efd504a3890"/>
    <w:p>
      <w:pPr>
        <w:pStyle w:val="Heading2"/>
      </w:pPr>
      <w:r>
        <w:t xml:space="preserve">III. The Intersection of Civil and Religious Law</w:t>
      </w:r>
    </w:p>
    <w:p>
      <w:pPr>
        <w:pStyle w:val="FirstParagraph"/>
      </w:pPr>
      <w:r>
        <w:t xml:space="preserve">If commercial law represents the global face of legal practice in Israel Tel Aviv, family law represents its deeply local soul. In matters concerning marriage, divorce, inheritance, and conversion within Israel Tel Aviv jurisdiction is primarily held by religious courts (Rabbinical for Jews; Sharia for Muslims; Ecclesiastical for Christians and Druze). This unique system places the lawyer in a precarious position.</w:t>
      </w:r>
    </w:p>
    <w:p>
      <w:pPr>
        <w:pStyle w:val="BodyText"/>
      </w:pPr>
      <w:r>
        <w:t xml:space="preserve">The lawyer advising clients in these matters must operate with acute sensitivity to religious doctrine. A standard civil law approach to asset division or child custody may be rendered irrelevant if it conflicts with religious rulings. Therefore, the contemporary lawyer in Israel Tel Aviv often engages in "shadow litigation," negotiating settlements out of court that can later be ratified by religious tribunals. This dual-track system requires a lawyer who is proficient in both secular civil procedure and the intricate details of Halakha (Jewish Law) or Sharia.</w:t>
      </w:r>
    </w:p>
    <w:p>
      <w:pPr>
        <w:pStyle w:val="BodyText"/>
      </w:pPr>
      <w:r>
        <w:t xml:space="preserve">This hybridization creates significant ethical dilemmas for the legal profession. The lawyer’s duty of confidentiality and zealous representation must be balanced against the moral imperatives demanded by religious authorities who may oversee aspects of the dispute resolution process. In Israel Tel Aviv, where society is increasingly secular yet institutionally traditional, lawyers often find themselves bridging a widening societal gap. They are frequently called upon to counsel clients on "pre-nuptial agreements" that bypass rabbinical court jurisdiction regarding divorce settlements, thereby protecting women’s rights in accordance with international human rights standards while operating within a restrictive legal framework.</w:t>
      </w:r>
    </w:p>
    <w:bookmarkEnd w:id="23"/>
    <w:bookmarkStart w:id="24" w:name="Xe8c2a52f014b6fd7a6e271447a0a32d662906c5"/>
    <w:p>
      <w:pPr>
        <w:pStyle w:val="Heading2"/>
      </w:pPr>
      <w:r>
        <w:t xml:space="preserve">IV. Ethical Challenges and Professional Identity</w:t>
      </w:r>
    </w:p>
    <w:p>
      <w:pPr>
        <w:pStyle w:val="FirstParagraph"/>
      </w:pPr>
      <w:r>
        <w:t xml:space="preserve">The distinctiveness of practicing law in Israel Tel Aviv also raises questions about professional ethics. The High Court of Justice, located largely within the Greater Tel Aviv area, frequently issues rulings that reshape societal norms. Lawyers here are often at the forefront of these social changes, acting as litigants for human rights organizations or corporate entities seeking to expand commercial freedoms.</w:t>
      </w:r>
    </w:p>
    <w:p>
      <w:pPr>
        <w:pStyle w:val="BodyText"/>
      </w:pPr>
      <w:r>
        <w:t xml:space="preserve">This role creates a polarized perception of the lawyer in public discourse. To some, the lawyer is a guardian of democracy and individual liberty; to others, particularly within strict religious communities, the lawyer may be viewed as an agent of secular erosion. The Israeli Bar Association has made concerted efforts to address these tensions by promoting continuing education on cultural competency and ethical neutrality.</w:t>
      </w:r>
    </w:p>
    <w:p>
      <w:pPr>
        <w:pStyle w:val="BodyText"/>
      </w:pPr>
      <w:r>
        <w:t xml:space="preserve">Moreover, the high-pressure environment of Israel Tel Aviv’s business sector imposes specific stressors on legal practitioners. The expectation for rapid turnaround times in a fast-moving tech economy can sometimes clash with the deliberate, deliberative pace required in matters involving religious or sensitive civil rights. Lawyers must therefore manage client expectations rigorously, ensuring that the pursuit of efficiency does not compromise the integrity of legal advice.</w:t>
      </w:r>
    </w:p>
    <w:bookmarkEnd w:id="24"/>
    <w:bookmarkStart w:id="25" w:name="v.-conclusion"/>
    <w:p>
      <w:pPr>
        <w:pStyle w:val="Heading2"/>
      </w:pPr>
      <w:r>
        <w:t xml:space="preserve">V. Conclusion</w:t>
      </w:r>
    </w:p>
    <w:p>
      <w:pPr>
        <w:pStyle w:val="FirstParagraph"/>
      </w:pPr>
      <w:r>
        <w:t xml:space="preserve">The lawyer in Israel Tel Aviv occupies a unique vantage point at the crossroads of tradition and modernity, local identity and global integration. This article has demonstrated that successful legal practice in this region requires more than mere technical competence; it demands a sophisticated understanding of the sociological underpinnings of the law. Whether negotiating complex tech startups or navigating religious family courts, the lawyer serves as a critical interface between disparate worlds.</w:t>
      </w:r>
    </w:p>
    <w:p>
      <w:pPr>
        <w:pStyle w:val="BodyText"/>
      </w:pPr>
      <w:r>
        <w:t xml:space="preserve">As Israel Tel Aviv continues to evolve as a global economic powerhouse, its legal practitioners will face increasing pressures to harmonize international best practices with local realities. Future research should focus on longitudinal studies of how digital transformation in the legal sector—such as the rise of LegalTech firms in Tel Aviv—is altering these traditional dynamics. For now, it remains clear that the lawyer is not just a technician of rules but a central architect of social cohesion and economic confidence in this vibrant metropolis.</w:t>
      </w:r>
    </w:p>
    <w:bookmarkEnd w:id="25"/>
    <w:bookmarkStart w:id="26" w:name="references"/>
    <w:p>
      <w:pPr>
        <w:pStyle w:val="Heading2"/>
      </w:pPr>
      <w:r>
        <w:t xml:space="preserve">References</w:t>
      </w:r>
    </w:p>
    <w:p>
      <w:pPr>
        <w:pStyle w:val="FirstParagraph"/>
      </w:pPr>
      <w:r>
        <w:t xml:space="preserve">Ben-Shahar, O. (2019). "The Economic Structure of Israeli Law." Journal of Legal Analysis, 11(2), 45-67.</w:t>
      </w:r>
    </w:p>
    <w:p>
      <w:pPr>
        <w:pStyle w:val="BodyText"/>
      </w:pPr>
      <w:r>
        <w:t xml:space="preserve">Cohen, A. &amp; Levy, D. (2021). "Mediating Tradition: Family Law Practices in Tel Aviv." International Family Law Review, 8(3), 112-130.</w:t>
      </w:r>
    </w:p>
    <w:p>
      <w:pPr>
        <w:pStyle w:val="BodyText"/>
      </w:pPr>
      <w:r>
        <w:t xml:space="preserve">Kaufman, E. (2020). "Startup Nation and the Rule of Law: Legal Frameworks for Innovation." Hebrew University Law Faculty Research Paper, No. 20-45.</w:t>
      </w:r>
    </w:p>
    <w:p>
      <w:pPr>
        <w:pStyle w:val="BodyText"/>
      </w:pPr>
      <w:r>
        <w:t xml:space="preserve">Israeli Bar Association. (2023). "Annual Report on Professional Ethics and Societal Challenges." Tel Aviv:IBA Publications.</w:t>
      </w:r>
    </w:p>
    <w:p>
      <w:pPr>
        <w:pStyle w:val="BodyText"/>
      </w:pPr>
      <w:r>
        <w:t xml:space="preserve">Schneller, A. (2018). "The Dual Jurisdiction: Religious vs Civil Courts in Israel." Tel Aviv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Dual Mandate: Navigating the Complexity of Legal Practice in Tel Aviv</dc:title>
  <dc:creator/>
  <dc:language>en</dc:language>
  <cp:keywords/>
  <dcterms:created xsi:type="dcterms:W3CDTF">2026-07-29T21:25:15Z</dcterms:created>
  <dcterms:modified xsi:type="dcterms:W3CDTF">2026-07-29T21:25:15Z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