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Legal</w:t>
      </w:r>
      <w:r>
        <w:t xml:space="preserve"> </w:t>
      </w:r>
      <w:r>
        <w:t xml:space="preserve">Practice</w:t>
      </w:r>
      <w:r>
        <w:t xml:space="preserve"> </w:t>
      </w:r>
      <w:r>
        <w:t xml:space="preserve">in</w:t>
      </w:r>
      <w:r>
        <w:t xml:space="preserve"> </w:t>
      </w:r>
      <w:r>
        <w:t xml:space="preserve">Kuwait</w:t>
      </w:r>
      <w:r>
        <w:t xml:space="preserve"> </w:t>
      </w:r>
      <w:r>
        <w:t xml:space="preserve">City:</w:t>
      </w:r>
      <w:r>
        <w:t xml:space="preserve"> </w:t>
      </w:r>
      <w:r>
        <w:t xml:space="preserve">An</w:t>
      </w:r>
      <w:r>
        <w:t xml:space="preserve"> </w:t>
      </w:r>
      <w:r>
        <w:t xml:space="preserve">Academic</w:t>
      </w:r>
      <w:r>
        <w:t xml:space="preserve"> </w:t>
      </w:r>
      <w:r>
        <w:t xml:space="preserve">Analysis</w:t>
      </w:r>
    </w:p>
    <w:bookmarkStart w:id="29" w:name="Xe3e38106b1621fb61a10cb8b3ff27c9561e554d"/>
    <w:p>
      <w:pPr>
        <w:pStyle w:val="Heading1"/>
      </w:pPr>
      <w:r>
        <w:t xml:space="preserve">The Evolution and Impact of Legal Practice in Kuwait City: An Academic Analysis</w:t>
      </w:r>
    </w:p>
    <w:p>
      <w:pPr>
        <w:pStyle w:val="FirstParagraph"/>
      </w:pPr>
      <w:r>
        <w:rPr>
          <w:bCs/>
          <w:b/>
        </w:rPr>
        <w:t xml:space="preserve">Alexander J. Thorne, Ph.D.</w:t>
      </w:r>
      <w:r>
        <w:br/>
      </w:r>
      <w:r>
        <w:t xml:space="preserve">Department of Comparative Law, International Institute of Jurisprudence</w:t>
      </w:r>
      <w:r>
        <w:br/>
      </w:r>
      <w:r>
        <w:t xml:space="preserve">Kuwait City, State of Kuwait</w:t>
      </w:r>
    </w:p>
    <w:bookmarkStart w:id="20" w:name="abstract"/>
    <w:p>
      <w:pPr>
        <w:pStyle w:val="Heading2"/>
      </w:pPr>
      <w:r>
        <w:t xml:space="preserve">Abstract</w:t>
      </w:r>
    </w:p>
    <w:p>
      <w:pPr>
        <w:pStyle w:val="FirstParagraph"/>
      </w:pPr>
      <w:r>
        <w:t xml:space="preserve">This article examines the contemporary landscape of legal practice within Kuwait City, focusing on the role, responsibilities, and evolving status of the lawyer in a rapidly modernizing jurisdiction. As Kuwait City serves as the economic and administrative heart of the State of Kuwait, it hosts a dense concentration of legal professionals navigating a complex hybrid system comprising civil law traditions influenced by Egyptian jurisprudence and Islamic Sharia principles. This study analyzes recent legislative reforms, the impact of digitalization on legal services in Kuwait City, and the ethical challenges faced by lawyers representing both domestic entities and international investors. The findings suggest that while the profession has seen significant structural growth, it faces ongoing challenges regarding judicial efficiency and professional independence.</w:t>
      </w:r>
    </w:p>
    <w:bookmarkEnd w:id="20"/>
    <w:bookmarkStart w:id="21" w:name="introduction"/>
    <w:p>
      <w:pPr>
        <w:pStyle w:val="Heading2"/>
      </w:pPr>
      <w:r>
        <w:t xml:space="preserve">1. Introduction</w:t>
      </w:r>
    </w:p>
    <w:p>
      <w:pPr>
        <w:pStyle w:val="FirstParagraph"/>
      </w:pPr>
      <w:r>
        <w:t xml:space="preserve">The legal profession is a cornerstone of any functioning state, serving as the intermediary between statutory law and citizen rights. In the context of Kuwait City, the capital and largest city in Kuwait, this role is particularly significant due to the city's status as a regional hub for commerce and diplomacy. The lawyer in Kuwait City operates within a unique legal ecosystem that blends civil code structures with Islamic legal principles. Historically, the practice of law in this region was informal; however, since the establishment of formal bar associations and codified laws in the mid-20th century, the profession has undergone substantial professionalization.</w:t>
      </w:r>
    </w:p>
    <w:p>
      <w:pPr>
        <w:pStyle w:val="BodyText"/>
      </w:pPr>
      <w:r>
        <w:t xml:space="preserve">This article aims to provide an academic overview of how lawyers in Kuwait City adapt to these dual legal influences. It explores how local attorneys navigate cases involving commercial disputes, family law, and criminal defense within the courts of Kuwait City. Furthermore, it addresses the geopolitical importance of legal counsel in a city that frequently hosts international arbitration and diplomatic negotiations.</w:t>
      </w:r>
    </w:p>
    <w:bookmarkEnd w:id="21"/>
    <w:bookmarkStart w:id="22" w:name="Xfdcf4801a1a131fcbf88a625713e5261bdf1c8c"/>
    <w:p>
      <w:pPr>
        <w:pStyle w:val="Heading2"/>
      </w:pPr>
      <w:r>
        <w:t xml:space="preserve">2. The Legal Framework Governing Lawyers in Kuwait</w:t>
      </w:r>
    </w:p>
    <w:p>
      <w:pPr>
        <w:pStyle w:val="FirstParagraph"/>
      </w:pPr>
      <w:r>
        <w:t xml:space="preserve">To understand the position of the lawyer in Kuwait City, one must first understand the legislative framework that regulates their practice. The primary law governing this profession is Law No. 30 of 1987 concerning Advocacy and its subsequent amendments. This legislation defines who may practice as a lawyer in Kuwait City and mandates strict adherence to ethical standards.</w:t>
      </w:r>
    </w:p>
    <w:p>
      <w:pPr>
        <w:pStyle w:val="BodyText"/>
      </w:pPr>
      <w:r>
        <w:t xml:space="preserve">The legal system in Kuwait City is primarily codified. The Civil Code, heavily influenced by the Egyptian Civil Code of 1948, provides the substantive law for most civil transactions. However, Family Law matters are governed by Sharia (Islamic law). Consequently, a lawyer practicing in Kuwait City must possess dual competence: rigorous knowledge of statutory codes and a nuanced understanding of Islamic jurisprudence. This hybrid requirement distinguishes the Kuwaiti legal professional from counterparts in purely secular jurisdictions.</w:t>
      </w:r>
    </w:p>
    <w:bookmarkEnd w:id="22"/>
    <w:bookmarkStart w:id="23" w:name="X212c08ceb9d4cb98784533f6150f5995962bb2a"/>
    <w:p>
      <w:pPr>
        <w:pStyle w:val="Heading2"/>
      </w:pPr>
      <w:r>
        <w:t xml:space="preserve">3. The Role of the Lawyer in Commercial and Corporate Law</w:t>
      </w:r>
    </w:p>
    <w:p>
      <w:pPr>
        <w:pStyle w:val="FirstParagraph"/>
      </w:pPr>
      <w:r>
        <w:t xml:space="preserve">Kuwait City has positioned itself as a financial gateway to the Gulf region, attracting significant foreign direct investment (FDI). In this environment, the lawyer plays a pivotal role in corporate governance and contract law. Legal practitioners in Kuwait City are increasingly tasked with advising multinational corporations on joint ventures, labor laws, and regulatory compliance.</w:t>
      </w:r>
    </w:p>
    <w:p>
      <w:pPr>
        <w:pStyle w:val="BodyText"/>
      </w:pPr>
      <w:r>
        <w:t xml:space="preserve">Recent years have seen the introduction of new commercial laws aimed at easing business operations. Lawyers must interpret these changes to ensure their clients remain compliant while maximizing efficiency. For instance, the new Civil Transactions Law (Law No. 27/2024) represents a significant shift for lawyers in Kuwait City, as it replaces older civil provisions with more modern frameworks that align better with international commercial standards. Legal professionals are currently engaged in academic and practical discourse regarding the implications of these changes on contract enforcement and liability.</w:t>
      </w:r>
    </w:p>
    <w:bookmarkEnd w:id="23"/>
    <w:bookmarkStart w:id="24" w:name="X222dd549e898b6f3734186609167ec4fa1dd5cd"/>
    <w:p>
      <w:pPr>
        <w:pStyle w:val="Heading2"/>
      </w:pPr>
      <w:r>
        <w:t xml:space="preserve">4. Challenges Facing Legal Practitioners in Kuwait City</w:t>
      </w:r>
    </w:p>
    <w:p>
      <w:pPr>
        <w:pStyle w:val="FirstParagraph"/>
      </w:pPr>
      <w:r>
        <w:t xml:space="preserve">Despite structural advancements, lawyers in Kuwait City face several systemic challenges. First is the issue of judicial backlog. The courts in Kuwait City often experience delays due to high caseloads and administrative bottlenecks. For a lawyer, this translates to prolonged litigation processes, which can be detrimental to clients seeking timely resolutions.</w:t>
      </w:r>
    </w:p>
    <w:p>
      <w:pPr>
        <w:pStyle w:val="BodyText"/>
      </w:pPr>
      <w:r>
        <w:t xml:space="preserve">Secondly, there is the challenge of professional independence. While the Bar Association provides a collective voice for lawyers, individual practitioners often operate within strict hierarchical legal structures. Maintaining ethical integrity while navigating political and social pressures requires significant resilience from lawyers in Kuwait City.</w:t>
      </w:r>
    </w:p>
    <w:p>
      <w:pPr>
        <w:pStyle w:val="BodyText"/>
      </w:pPr>
      <w:r>
        <w:t xml:space="preserve">Additionally, language proficiency remains a critical barrier. As Kuwait City hosts diverse international communities, the ability to draft contracts and present arguments in multiple languages (Arabic, English, and French) is becoming an essential skill set for modern legal practitioners.</w:t>
      </w:r>
    </w:p>
    <w:bookmarkEnd w:id="24"/>
    <w:bookmarkStart w:id="25" w:name="X43277ec034c23a3bc5eb6e6f0396544bbe08c7e"/>
    <w:p>
      <w:pPr>
        <w:pStyle w:val="Heading2"/>
      </w:pPr>
      <w:r>
        <w:t xml:space="preserve">5. The Impact of Digitalization on Legal Practice</w:t>
      </w:r>
    </w:p>
    <w:p>
      <w:pPr>
        <w:pStyle w:val="FirstParagraph"/>
      </w:pPr>
      <w:r>
        <w:t xml:space="preserve">The digital transformation of the judiciary in Kuwait City has begun to reshape how lawyers operate. The implementation of electronic filing systems and virtual hearing capabilities, accelerated by recent global health crises, has forced lawyers to adapt their workflows. In Kuwait City, the Ministry of Justice has initiated projects to digitize case management.</w:t>
      </w:r>
    </w:p>
    <w:p>
      <w:pPr>
        <w:pStyle w:val="BodyText"/>
      </w:pPr>
      <w:r>
        <w:t xml:space="preserve">This shift offers benefits in terms of transparency and speed but also introduces cybersecurity risks and digital literacy challenges. Lawyers must now be proficient not only in legal theory but also in legal technology (LegalTech). This evolution is particularly evident among younger lawyers entering the market in Kuwait City, who are driving innovation through the use of artificial intelligence for case research and document review.</w:t>
      </w:r>
    </w:p>
    <w:bookmarkEnd w:id="25"/>
    <w:bookmarkStart w:id="26" w:name="X08f5c752bd520cba5d600aef20424d37e0379b0"/>
    <w:p>
      <w:pPr>
        <w:pStyle w:val="Heading2"/>
      </w:pPr>
      <w:r>
        <w:t xml:space="preserve">6. Ethical Considerations and Professional Responsibility</w:t>
      </w:r>
    </w:p>
    <w:p>
      <w:pPr>
        <w:pStyle w:val="FirstParagraph"/>
      </w:pPr>
      <w:r>
        <w:t xml:space="preserve">The ethical obligations of a lawyer in Kuwait City are stringent. The Code of Ethics for Advocacy mandates confidentiality, loyalty to the client, and respect for the court. Given the close-knit nature of legal communities in Kuwait City, maintaining professional boundaries is crucial. Lawyers must avoid conflicts of interest, particularly when dealing with government entities or state-owned enterprises which are frequent parties in litigation.</w:t>
      </w:r>
    </w:p>
    <w:p>
      <w:pPr>
        <w:pStyle w:val="BodyText"/>
      </w:pPr>
      <w:r>
        <w:t xml:space="preserve">Furthermore, pro bono work is gaining traction among lawyers in Kuwait City. There is a growing movement to provide legal aid to marginalized groups, reflecting a broader societal shift towards social responsibility within the legal profession.</w:t>
      </w:r>
    </w:p>
    <w:bookmarkEnd w:id="26"/>
    <w:bookmarkStart w:id="27" w:name="conclusion"/>
    <w:p>
      <w:pPr>
        <w:pStyle w:val="Heading2"/>
      </w:pPr>
      <w:r>
        <w:t xml:space="preserve">7. Conclusion</w:t>
      </w:r>
    </w:p>
    <w:p>
      <w:pPr>
        <w:pStyle w:val="FirstParagraph"/>
      </w:pPr>
      <w:r>
        <w:t xml:space="preserve">The lawyer in Kuwait City stands at the intersection of tradition and modernity. As the jurisdiction continues to implement reforms aimed at economic diversification and judicial efficiency, the role of legal counsel becomes increasingly complex yet vital. The success of Kuwait City’s ambition to be a regional legal hub depends heavily on the capability, independence, and adaptability of its legal professionals.</w:t>
      </w:r>
    </w:p>
    <w:p>
      <w:pPr>
        <w:pStyle w:val="BodyText"/>
      </w:pPr>
      <w:r>
        <w:t xml:space="preserve">Future research should focus on comparative studies between lawyers in Kuwait City and those in neighboring Gulf states to better understand regional trends. For now, it is evident that the lawyer remains an indispensable actor in maintaining the rule of law and fostering economic stability in Kuwait City.</w:t>
      </w:r>
    </w:p>
    <w:bookmarkEnd w:id="27"/>
    <w:bookmarkStart w:id="28" w:name="references"/>
    <w:p>
      <w:pPr>
        <w:pStyle w:val="Heading2"/>
      </w:pPr>
      <w:r>
        <w:t xml:space="preserve">References</w:t>
      </w:r>
    </w:p>
    <w:p>
      <w:pPr>
        <w:numPr>
          <w:ilvl w:val="0"/>
          <w:numId w:val="1001"/>
        </w:numPr>
        <w:pStyle w:val="Compact"/>
      </w:pPr>
      <w:r>
        <w:t xml:space="preserve">Kuwait Ministry of Justice. (1987). *Law No. 30 of 1987 concerning Advocacy*. State of Kuwait Official Gazette.</w:t>
      </w:r>
    </w:p>
    <w:p>
      <w:pPr>
        <w:numPr>
          <w:ilvl w:val="0"/>
          <w:numId w:val="1001"/>
        </w:numPr>
        <w:pStyle w:val="Compact"/>
      </w:pPr>
      <w:r>
        <w:t xml:space="preserve">Ahmed, S. (2020). "The Hybrid Nature of Family Law in Kuwait: A Comparative Analysis."</w:t>
      </w:r>
      <w:r>
        <w:t xml:space="preserve"> </w:t>
      </w:r>
      <w:r>
        <w:rPr>
          <w:iCs/>
          <w:i/>
        </w:rPr>
        <w:t xml:space="preserve">Kuwait Law Review</w:t>
      </w:r>
      <w:r>
        <w:t xml:space="preserve">, 12(3), 45-62.</w:t>
      </w:r>
    </w:p>
    <w:p>
      <w:pPr>
        <w:numPr>
          <w:ilvl w:val="0"/>
          <w:numId w:val="1001"/>
        </w:numPr>
        <w:pStyle w:val="Compact"/>
      </w:pPr>
      <w:r>
        <w:t xml:space="preserve">Baker, J. P., &amp; Menell, R. L. (2018). "Legal Systems and Economic Growth in the Gulf Region."</w:t>
      </w:r>
      <w:r>
        <w:t xml:space="preserve"> </w:t>
      </w:r>
      <w:r>
        <w:rPr>
          <w:iCs/>
          <w:i/>
        </w:rPr>
        <w:t xml:space="preserve">Journal of International Business Law</w:t>
      </w:r>
      <w:r>
        <w:t xml:space="preserve">, 8(2), 112-130.</w:t>
      </w:r>
    </w:p>
    <w:p>
      <w:pPr>
        <w:numPr>
          <w:ilvl w:val="0"/>
          <w:numId w:val="1001"/>
        </w:numPr>
        <w:pStyle w:val="Compact"/>
      </w:pPr>
      <w:r>
        <w:t xml:space="preserve">Kuwait Chamber of Commerce and Industry. (2023). *Annual Report on Foreign Investment Trends*. Kuwait City: KCCI Publications.</w:t>
      </w:r>
    </w:p>
    <w:p>
      <w:pPr>
        <w:numPr>
          <w:ilvl w:val="0"/>
          <w:numId w:val="1001"/>
        </w:numPr>
        <w:pStyle w:val="Compact"/>
      </w:pPr>
      <w:r>
        <w:t xml:space="preserve">Mansour, A. (2019). "Judicial Efficiency in Arab Jurisdictions: The Case of Kuwait."</w:t>
      </w:r>
      <w:r>
        <w:t xml:space="preserve"> </w:t>
      </w:r>
      <w:r>
        <w:rPr>
          <w:iCs/>
          <w:i/>
        </w:rPr>
        <w:t xml:space="preserve">Middle East Law and Governance</w:t>
      </w:r>
      <w:r>
        <w:t xml:space="preserve">, 11(4), 301-325.</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Legal Practice in Kuwait City: An Academic Analysis</dc:title>
  <dc:creator/>
  <cp:keywords/>
  <dcterms:created xsi:type="dcterms:W3CDTF">2026-07-29T10:19:17Z</dcterms:created>
  <dcterms:modified xsi:type="dcterms:W3CDTF">2026-07-29T10:19:17Z</dcterms:modified>
</cp:coreProperties>
</file>

<file path=docProps/custom.xml><?xml version="1.0" encoding="utf-8"?>
<Properties xmlns="http://schemas.openxmlformats.org/officeDocument/2006/custom-properties" xmlns:vt="http://schemas.openxmlformats.org/officeDocument/2006/docPropsVTypes"/>
</file>