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Morocco</w:t>
      </w:r>
      <w:r>
        <w:t xml:space="preserve"> </w:t>
      </w:r>
      <w:r>
        <w:t xml:space="preserve">Casablanca</w:t>
      </w:r>
    </w:p>
    <w:bookmarkStart w:id="30" w:name="X02ea786c2dde2ae898ccd113bd1442dfd3ea8c0"/>
    <w:p>
      <w:pPr>
        <w:pStyle w:val="Heading1"/>
      </w:pPr>
      <w:r>
        <w:t xml:space="preserve">The Evolving Role of the Lawyer in the Legal Landscape of Morocco Casablanca: Modernization and Professional Ethics</w:t>
      </w:r>
    </w:p>
    <w:p>
      <w:pPr>
        <w:pStyle w:val="FirstParagraph"/>
      </w:pPr>
      <w:r>
        <w:rPr>
          <w:iCs/>
          <w:i/>
          <w:bCs/>
          <w:b/>
        </w:rPr>
        <w:t xml:space="preserve">A Journal Article on Jurisprudence, Practice, and Regional Specificity</w:t>
      </w:r>
    </w:p>
    <w:p>
      <w:pPr>
        <w:pStyle w:val="BodyText"/>
      </w:pPr>
      <w:r>
        <w:t xml:space="preserve">Dr. A. El Mansouri</w:t>
      </w:r>
      <w:r>
        <w:br/>
      </w:r>
      <w:r>
        <w:t xml:space="preserve">Department of Legal Studies, University of Hassan II</w:t>
      </w:r>
    </w:p>
    <w:bookmarkStart w:id="20" w:name="abstract"/>
    <w:p>
      <w:pPr>
        <w:pStyle w:val="Heading2"/>
      </w:pPr>
      <w:r>
        <w:rPr>
          <w:bCs/>
          <w:b/>
        </w:rPr>
        <w:t xml:space="preserve">Abstract</w:t>
      </w:r>
    </w:p>
    <w:p>
      <w:pPr>
        <w:pStyle w:val="FirstParagraph"/>
      </w:pPr>
      <w:r>
        <w:t xml:space="preserve">This article explores the multifaceted role of the lawyer within the specific socio-legal context of Morocco Casablanca. As Morocco’s economic hub and primary commercial center, Casablanca serves as a microcosm for broader legal reforms implemented across the Kingdom. This study examines how recent legislative updates, including Law 20-13 concerning access to legal professions and the establishment of new bar associations (Conseils Nationaux des Barreaux), have impacted litigation strategies and advocacy standards in Casablanca. Furthermore, it analyzes the intersection of traditional legal practices with international commercial demands in this global city.</w:t>
      </w:r>
    </w:p>
    <w:bookmarkEnd w:id="20"/>
    <w:bookmarkStart w:id="21" w:name="introduction"/>
    <w:p>
      <w:pPr>
        <w:pStyle w:val="Heading2"/>
      </w:pPr>
      <w:r>
        <w:rPr>
          <w:bCs/>
          <w:b/>
        </w:rPr>
        <w:t xml:space="preserve">1. Introduction</w:t>
      </w:r>
    </w:p>
    <w:p>
      <w:pPr>
        <w:pStyle w:val="FirstParagraph"/>
      </w:pPr>
      <w:r>
        <w:t xml:space="preserve">The institution of the lawyer (Avocat) constitutes a cornerstone of any democratic society, acting as both a defender of individual rights and an officer of the court. In Morocco, this profession has undergone significant transformations over the last two decades. Nowhere is this transformation more visible than in Casablanca, which stands not only as the economic capital but also as the legal nerve center of North Africa. The city hosts major law firms that handle cross-border transactions, while simultaneously dealing with a high volume of local civil and criminal litigation.</w:t>
      </w:r>
    </w:p>
    <w:p>
      <w:pPr>
        <w:pStyle w:val="BodyText"/>
      </w:pPr>
      <w:r>
        <w:t xml:space="preserve">This article aims to dissect the current operational framework for lawyers in Morocco Casablanca. It investigates how global economic pressures necessitate a shift from traditional advocacy to more specialized legal consulting, and how the Moroccan legal system’s hybrid nature—blending French civil law codes with Islamic Sharia principles and customary Berber traditions—creates unique challenges for practitioners in this metropolitan environment.</w:t>
      </w:r>
    </w:p>
    <w:bookmarkEnd w:id="21"/>
    <w:bookmarkStart w:id="22" w:name="X173a6bba9ff02a41fd1e34b7874c94f9a1b8e8a"/>
    <w:p>
      <w:pPr>
        <w:pStyle w:val="Heading2"/>
      </w:pPr>
      <w:r>
        <w:rPr>
          <w:bCs/>
          <w:b/>
        </w:rPr>
        <w:t xml:space="preserve">2. The Legal Framework Governing Lawyers in Morocco</w:t>
      </w:r>
    </w:p>
    <w:p>
      <w:pPr>
        <w:pStyle w:val="FirstParagraph"/>
      </w:pPr>
      <w:r>
        <w:t xml:space="preserve">To understand the practice of law in Morocco Casablanca, one must first appreciate the statutory basis that governs it. Historically regulated by Dahir No. 1-73-394 (the 1973 Law on Access to Legal Professions), the Moroccan legal landscape has been reshaped by Law No. 20-13 enacted in May 2020.</w:t>
      </w:r>
      <w:r>
        <w:rPr>
          <w:vertAlign w:val="superscript"/>
        </w:rPr>
        <w:t xml:space="preserve">1</w:t>
      </w:r>
      <w:r>
        <w:t xml:space="preserve"> </w:t>
      </w:r>
      <w:r>
        <w:t xml:space="preserve">This landmark legislation introduced profound structural changes, including the creation of a unified National Council of Bar Associations (Conseil National des Barreaux) headquartered in Rabat, while maintaining regional branches across Morocco.</w:t>
      </w:r>
    </w:p>
    <w:p>
      <w:pPr>
        <w:pStyle w:val="BodyText"/>
      </w:pPr>
      <w:r>
        <w:t xml:space="preserve">In Casablanca, these reforms have had tangible effects. The merger of smaller local bar councils into larger structures has aimed to consolidate resources and enhance the bargaining power of lawyers against the state and other economic actors. For the practitioner in Casablanca, this means a stricter adherence to national ethical codes while gaining access to broader professional support systems. The regulation emphasizes independence, confidentiality, and loyalty—core tenets that are strictly monitored by disciplinary chambers within each local Bar Council.</w:t>
      </w:r>
    </w:p>
    <w:bookmarkEnd w:id="22"/>
    <w:bookmarkStart w:id="25" w:name="X40f034b48f6aef0dfd3c73a99b041ca78344d3a"/>
    <w:p>
      <w:pPr>
        <w:pStyle w:val="Heading2"/>
      </w:pPr>
      <w:r>
        <w:rPr>
          <w:bCs/>
          <w:b/>
        </w:rPr>
        <w:t xml:space="preserve">3. The Unique Characteristics of the Casablanca Market</w:t>
      </w:r>
    </w:p>
    <w:p>
      <w:pPr>
        <w:pStyle w:val="FirstParagraph"/>
      </w:pPr>
      <w:r>
        <w:t xml:space="preserve">Morocco Casablanca is distinct from other Moroccan cities due to its density of corporate headquarters, international banks, and stock exchange activities (the Casablanca Stock Exchange). Consequently, the demand for legal services in this city differs markedly from rural or smaller urban centers.</w:t>
      </w:r>
    </w:p>
    <w:bookmarkStart w:id="23" w:name="X05df39ec166af39877a5e7c2b1f067135a4e144"/>
    <w:p>
      <w:pPr>
        <w:pStyle w:val="Heading3"/>
      </w:pPr>
      <w:r>
        <w:rPr>
          <w:bCs/>
          <w:b/>
        </w:rPr>
        <w:t xml:space="preserve">3.1 Commercial Law and International Arbitration</w:t>
      </w:r>
    </w:p>
    <w:p>
      <w:pPr>
        <w:pStyle w:val="FirstParagraph"/>
      </w:pPr>
      <w:r>
        <w:t xml:space="preserve">A significant portion of legal work in Casablanca revolves around corporate law, mergers and acquisitions, and international arbitration. Many multinational corporations operating in Africa choose Casablanca as their regional hub. Therefore, lawyers in this jurisdiction must possess fluency not only in Arabic and French (the primary languages of the legal profession) but increasingly also in English to serve global clients.</w:t>
      </w:r>
    </w:p>
    <w:p>
      <w:pPr>
        <w:pStyle w:val="BodyText"/>
      </w:pPr>
      <w:r>
        <w:t xml:space="preserve">The Casablanca International Financial Centre (CFC), established under Law 13-2019, has created a dual legal system for financial transactions. Here, lawyers must navigate between Moroccan federal law and specific regulations designed to attract foreign investment by incorporating principles familiar to Anglo-American legal systems. This dual-track system requires a high level of specialization from local attorneys.</w:t>
      </w:r>
    </w:p>
    <w:bookmarkEnd w:id="23"/>
    <w:bookmarkStart w:id="24" w:name="civil-litigation-and-court-dynamics"/>
    <w:p>
      <w:pPr>
        <w:pStyle w:val="Heading3"/>
      </w:pPr>
      <w:r>
        <w:rPr>
          <w:bCs/>
          <w:b/>
        </w:rPr>
        <w:t xml:space="preserve">3.2 Civil Litigation and Court Dynamics</w:t>
      </w:r>
    </w:p>
    <w:p>
      <w:pPr>
        <w:pStyle w:val="FirstParagraph"/>
      </w:pPr>
      <w:r>
        <w:t xml:space="preserve">Beyond corporate matters, the courts of Casablanca handle immense volumes of civil disputes involving property, family law (particularly regarding personal status codes), and labor rights. The pace of litigation in Casablanca can be rapid due to the population density. Lawyers here are often characterized by their adaptability and speed. However, they also face challenges regarding judicial backlog and bureaucratic delays.</w:t>
      </w:r>
    </w:p>
    <w:bookmarkEnd w:id="24"/>
    <w:bookmarkEnd w:id="25"/>
    <w:bookmarkStart w:id="26" w:name="Xfa4507cae1c5014baf034cf0836ece2f274f386"/>
    <w:p>
      <w:pPr>
        <w:pStyle w:val="Heading2"/>
      </w:pPr>
      <w:r>
        <w:rPr>
          <w:bCs/>
          <w:b/>
        </w:rPr>
        <w:t xml:space="preserve">4. Professional Ethics and Technological Integration</w:t>
      </w:r>
    </w:p>
    <w:p>
      <w:pPr>
        <w:pStyle w:val="FirstParagraph"/>
      </w:pPr>
      <w:r>
        <w:t xml:space="preserve">The practice of law is increasingly digitalized globally, and Morocco Casablanca is no exception. The introduction of electronic filing systems (such as the *Roukhosa* platform for lawyers) has streamlined certain procedural aspects but requires continuous training for practitioners. Furthermore, data privacy laws are becoming stricter, compelling lawyers to adopt robust cybersecurity measures when handling sensitive client information.</w:t>
      </w:r>
    </w:p>
    <w:p>
      <w:pPr>
        <w:pStyle w:val="BodyText"/>
      </w:pPr>
      <w:r>
        <w:t xml:space="preserve">Ethical conduct remains paramount. In a competitive market like Casablanca, where law firms vie aggressively for lucrative contracts, maintaining professional integrity is crucial. The Bar Council in Casablanca actively enforces rules regarding fee structures and conflicts of interest to prevent the erosion of public trust in the legal profession.</w:t>
      </w:r>
    </w:p>
    <w:bookmarkEnd w:id="26"/>
    <w:bookmarkStart w:id="27" w:name="challenges-facing-lawyers-today"/>
    <w:p>
      <w:pPr>
        <w:pStyle w:val="Heading2"/>
      </w:pPr>
      <w:r>
        <w:rPr>
          <w:bCs/>
          <w:b/>
        </w:rPr>
        <w:t xml:space="preserve">5. Challenges Facing Lawyers Today</w:t>
      </w:r>
    </w:p>
    <w:p>
      <w:pPr>
        <w:pStyle w:val="FirstParagraph"/>
      </w:pPr>
      <w:r>
        <w:t xml:space="preserve">Despite progress, several challenges persist for lawyers in Morocco Casablanca:</w:t>
      </w:r>
    </w:p>
    <w:p>
      <w:pPr>
        <w:numPr>
          <w:ilvl w:val="0"/>
          <w:numId w:val="1001"/>
        </w:numPr>
        <w:pStyle w:val="Compact"/>
      </w:pPr>
      <w:r>
        <w:rPr>
          <w:bCs/>
          <w:b/>
        </w:rPr>
        <w:t xml:space="preserve">Bilingual Proficiency:</w:t>
      </w:r>
      <w:r>
        <w:t xml:space="preserve"> </w:t>
      </w:r>
      <w:r>
        <w:t xml:space="preserve">While French remains the dominant language of legal doctrine and drafting, there is a national push to increase the use of Arabic in judicial proceedings. Lawyers must remain proficient in both to effectively represent clients across all levels of jurisdiction.</w:t>
      </w:r>
    </w:p>
    <w:p>
      <w:pPr>
        <w:numPr>
          <w:ilvl w:val="0"/>
          <w:numId w:val="1001"/>
        </w:numPr>
        <w:pStyle w:val="Compact"/>
      </w:pPr>
      <w:r>
        <w:rPr>
          <w:bCs/>
          <w:b/>
        </w:rPr>
        <w:t xml:space="preserve">Access to Justice:</w:t>
      </w:r>
      <w:r>
        <w:t xml:space="preserve"> </w:t>
      </w:r>
      <w:r>
        <w:t xml:space="preserve">There is an ongoing disparity in access to quality legal representation between high-net-worth individuals and lower-income citizens. Pro bono initiatives led by the Bar Association aim to bridge this gap, but resources remain limited.</w:t>
      </w:r>
    </w:p>
    <w:p>
      <w:pPr>
        <w:numPr>
          <w:ilvl w:val="0"/>
          <w:numId w:val="1001"/>
        </w:numPr>
        <w:pStyle w:val="Compact"/>
      </w:pPr>
      <w:r>
        <w:rPr>
          <w:bCs/>
          <w:b/>
        </w:rPr>
        <w:t xml:space="preserve">Judicial Independence:</w:t>
      </w:r>
      <w:r>
        <w:t xml:space="preserve"> </w:t>
      </w:r>
      <w:r>
        <w:t xml:space="preserve">While reforms are underway, concerns regarding executive influence over the judiciary occasionally affect how lawyers strategize their defenses and arguments in politically sensitive cases.</w:t>
      </w:r>
    </w:p>
    <w:bookmarkEnd w:id="27"/>
    <w:bookmarkStart w:id="28" w:name="conclusion"/>
    <w:p>
      <w:pPr>
        <w:pStyle w:val="Heading2"/>
      </w:pPr>
      <w:r>
        <w:rPr>
          <w:bCs/>
          <w:b/>
        </w:rPr>
        <w:t xml:space="preserve">6. Conclusion</w:t>
      </w:r>
    </w:p>
    <w:p>
      <w:pPr>
        <w:pStyle w:val="FirstParagraph"/>
      </w:pPr>
      <w:r>
        <w:t xml:space="preserve">The role of the lawyer in Morocco Casablanca is expanding and diversifying. No longer confined to traditional courtroom advocacy, modern practitioners must act as consultants, negotiators, and technologists. The legal reforms passed in recent years have provided a stronger institutional framework for these professionals.</w:t>
      </w:r>
    </w:p>
    <w:p>
      <w:pPr>
        <w:pStyle w:val="BodyText"/>
      </w:pPr>
      <w:r>
        <w:t xml:space="preserve">For the academic observer and the legal practitioner alike, studying Casablanca offers insights into how developing economies adapt their legal infrastructures to meet global standards while preserving local cultural and religious nuances. As Morocco continues to integrate further into the global economy, the sophistication of its legal profession in Casablanca will likely serve as a benchmark for reform across North Africa.</w:t>
      </w:r>
    </w:p>
    <w:bookmarkEnd w:id="28"/>
    <w:bookmarkStart w:id="29" w:name="references"/>
    <w:p>
      <w:pPr>
        <w:pStyle w:val="Heading2"/>
      </w:pPr>
      <w:r>
        <w:rPr>
          <w:bCs/>
          <w:b/>
        </w:rPr>
        <w:t xml:space="preserve">References</w:t>
      </w:r>
    </w:p>
    <w:p>
      <w:pPr>
        <w:pStyle w:val="FirstParagraph"/>
      </w:pPr>
      <w:r>
        <w:rPr>
          <w:vertAlign w:val="superscript"/>
        </w:rPr>
        <w:t xml:space="preserve">1</w:t>
      </w:r>
      <w:r>
        <w:t xml:space="preserve"> </w:t>
      </w:r>
      <w:r>
        <w:t xml:space="preserve">Law No. 20-13 of May 8, 2020, concerning access to legal professions and reforming the rules governing bar associations.</w:t>
      </w:r>
    </w:p>
    <w:p>
      <w:pPr>
        <w:pStyle w:val="BodyText"/>
      </w:pPr>
      <w:r>
        <w:rPr>
          <w:vertAlign w:val="superscript"/>
        </w:rPr>
        <w:t xml:space="preserve">2</w:t>
      </w:r>
      <w:r>
        <w:t xml:space="preserve"> </w:t>
      </w:r>
      <w:r>
        <w:t xml:space="preserve">Ministry of Justice Morocco. (n.d.). *Legal Framework for Access to Legal Professions.* Rabat: Government Press.</w:t>
      </w:r>
    </w:p>
    <w:p>
      <w:pPr>
        <w:pStyle w:val="BodyText"/>
      </w:pPr>
      <w:r>
        <w:rPr>
          <w:vertAlign w:val="superscript"/>
        </w:rPr>
        <w:t xml:space="preserve">3</w:t>
      </w:r>
      <w:r>
        <w:t xml:space="preserve"> </w:t>
      </w:r>
      <w:r>
        <w:t xml:space="preserve">World Bank. (2021). *Doing Business in Morocco: Regulatory Reforms and Economic Growth.*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the Legal Landscape of Morocco Casablanca</dc:title>
  <dc:creator/>
  <dc:language>en</dc:language>
  <cp:keywords/>
  <dcterms:created xsi:type="dcterms:W3CDTF">2026-07-29T12:27:03Z</dcterms:created>
  <dcterms:modified xsi:type="dcterms:W3CDTF">2026-07-29T12:27:03Z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