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Netherlands</w:t>
      </w:r>
      <w:r>
        <w:t xml:space="preserve"> </w:t>
      </w:r>
      <w:r>
        <w:t xml:space="preserve">Amsterdam</w:t>
      </w:r>
    </w:p>
    <w:p>
      <w:pPr>
        <w:pStyle w:val="FirstParagraph"/>
      </w:pPr>
      <w:r>
        <w:t xml:space="preserve">```html</w:t>
      </w:r>
    </w:p>
    <w:bookmarkStart w:id="20" w:name="X3286ce5d68e4af6bfc04ccd1ad83dd12a62e8a2"/>
    <w:p>
      <w:pPr>
        <w:pStyle w:val="Heading1"/>
      </w:pPr>
      <w:r>
        <w:t xml:space="preserve">The Role of the Lawyer in the Legal Landscape of Netherlands Amsterdam</w:t>
      </w:r>
    </w:p>
    <w:p>
      <w:pPr>
        <w:pStyle w:val="FirstParagraph"/>
      </w:pPr>
      <w:r>
        <w:rPr>
          <w:iCs/>
          <w:i/>
          <w:bCs/>
          <w:b/>
        </w:rPr>
        <w:t xml:space="preserve">An Academic Analysis of Contemporary Jurisprudence and Advocacy Standards.</w:t>
      </w:r>
    </w:p>
    <w:p>
      <w:pPr>
        <w:pStyle w:val="BodyText"/>
      </w:pPr>
      <w:r>
        <w:rPr>
          <w:iCs/>
          <w:i/>
        </w:rPr>
        <w:t xml:space="preserve">A Journal Article for Peer Review</w:t>
      </w:r>
    </w:p>
    <w:bookmarkEnd w:id="20"/>
    <w:bookmarkStart w:id="21" w:name="abstract"/>
    <w:p>
      <w:pPr>
        <w:pStyle w:val="Heading3"/>
      </w:pPr>
      <w:r>
        <w:t xml:space="preserve">Abstract</w:t>
      </w:r>
    </w:p>
    <w:p>
      <w:pPr>
        <w:pStyle w:val="FirstParagraph"/>
      </w:pPr>
      <w:r>
        <w:t xml:space="preserve">This academic journal article explores the multifaceted role of the Lawyer within the specific context of Netherlands Amsterdam. It examines how historical legal traditions intersect with modern regulatory frameworks, focusing on ethics, commercial law complexities, and international litigation. By analyzing recent legislative changes and landmark court decisions in this major European hub, this paper provides an exhaustive review of current advocacy standards.</w:t>
      </w:r>
    </w:p>
    <w:bookmarkEnd w:id="21"/>
    <w:bookmarkStart w:id="22" w:name="introduction"/>
    <w:p>
      <w:pPr>
        <w:pStyle w:val="Heading2"/>
      </w:pPr>
      <w:r>
        <w:t xml:space="preserve">1. Introduction</w:t>
      </w:r>
    </w:p>
    <w:p>
      <w:pPr>
        <w:pStyle w:val="FirstParagraph"/>
      </w:pPr>
      <w:r>
        <w:t xml:space="preserve">The profession of the Lawyer serves as a cornerstone for the maintenance of justice, societal order, and economic stability across all developed democracies. However, the specific operational parameters vary significantly depending on jurisdictional nuances. In this regard, Netherlands Amsterdam stands out not merely as an administrative capital but as a premier international legal hub in Europe. Located in one of the most densely connected cities globally—boasting both Schiphol Airport and major financial districts—Amsterdam presents a unique microcosm where domestic Dutch civil law meets extensive international commercial pressures.</w:t>
      </w:r>
    </w:p>
    <w:p>
      <w:pPr>
        <w:pStyle w:val="BodyText"/>
      </w:pPr>
      <w:r>
        <w:t xml:space="preserve">This article aims to dissect the contemporary environment for the Lawyer practicing within this vibrant metropolitan area. The scope includes an exploration of regulatory oversight by the Netherlands Bar Association (Orde van Advocaten), the impact of European Union directives on local practice, and evolving expectations regarding digitalization and accessibility in legal services.</w:t>
      </w:r>
    </w:p>
    <w:bookmarkEnd w:id="22"/>
    <w:bookmarkStart w:id="23" w:name="X49148bdfd68d8cd095beed85206ae5ca88e06b4"/>
    <w:p>
      <w:pPr>
        <w:pStyle w:val="Heading2"/>
      </w:pPr>
      <w:r>
        <w:t xml:space="preserve">2. Historical Context and Regulatory Frameworks</w:t>
      </w:r>
    </w:p>
    <w:p>
      <w:pPr>
        <w:pStyle w:val="FirstParagraph"/>
      </w:pPr>
      <w:r>
        <w:t xml:space="preserve">To understand modern advocacy in Netherlands Amsterdam, one must acknowledge the deep-rooted Roman-Dutch law heritage that influences contemporary jurisprudence unlike its common law counterparts. The Lawyer operates within a civil system where codes dictate statutory interpretation rather than relying solely on precedent. Historically, this has demanded rigorous analytical skills from legal practitioners regarding codified statutes.</w:t>
      </w:r>
    </w:p>
    <w:p>
      <w:pPr>
        <w:pStyle w:val="BodyText"/>
      </w:pPr>
      <w:r>
        <w:t xml:space="preserve">In recent decades, however, the globalization of commerce has necessitated adaptability among lawyers practicing in Netherlands Amsterdam. The establishment of specialized chambers dealing with international arbitration reflects a shift toward hybridized legal practices. Consequently, professional bodies such as the Netherlands Bar have updated their ethical guidelines to accommodate cross-border transactions while preserving core principles of independence and confidentiality inherent to the role of the Lawyer.</w:t>
      </w:r>
    </w:p>
    <w:bookmarkEnd w:id="23"/>
    <w:bookmarkStart w:id="24" w:name="ethics-and-professional-responsibility"/>
    <w:p>
      <w:pPr>
        <w:pStyle w:val="Heading2"/>
      </w:pPr>
      <w:r>
        <w:t xml:space="preserve">3. Ethics and Professional Responsibility</w:t>
      </w:r>
    </w:p>
    <w:p>
      <w:pPr>
        <w:pStyle w:val="FirstParagraph"/>
      </w:pPr>
      <w:r>
        <w:t xml:space="preserve">Ethical compliance remains paramount for any Lawyer operating in Netherlands Amsterdam. Recent disciplinary cases highlight increasing scrutiny over conflicts of interest, particularly within large corporate firms representing multinational entities against local stakeholders. The Dutch legal culture emphasizes transparency and direct communication between attorney and client, contrasting sharply with more adversarial or opaque systems found elsewhere.</w:t>
      </w:r>
    </w:p>
    <w:p>
      <w:pPr>
        <w:pStyle w:val="BodyText"/>
      </w:pPr>
      <w:r>
        <w:t xml:space="preserve">Furthermore, data protection regulations under the General Data Protection Regulation (GDPR) have profoundly impacted how the Lawyer manages sensitive information. In a city like Netherlands Amsterdam, known for its progressive stance on digital privacy, adherence to strict security protocols is no longer optional but mandatory. Violations can result in severe penalties ranging from fines to disbarment, underscoring the critical importance of continuous education on cybersecurity measures.</w:t>
      </w:r>
    </w:p>
    <w:bookmarkEnd w:id="24"/>
    <w:bookmarkStart w:id="25" w:name="X05df39ec166af39877a5e7c2b1f067135a4e144"/>
    <w:p>
      <w:pPr>
        <w:pStyle w:val="Heading2"/>
      </w:pPr>
      <w:r>
        <w:t xml:space="preserve">4. Commercial Law and International Arbitration</w:t>
      </w:r>
    </w:p>
    <w:p>
      <w:pPr>
        <w:pStyle w:val="FirstParagraph"/>
      </w:pPr>
      <w:r>
        <w:t xml:space="preserve">A significant portion of legal work undertaken by the Lawyer in Netherlands Amsterdam revolves around corporate finance, mergers and acquisitions (M&amp;A), intellectual property rights, and maritime law due to the port's global significance. The presence of numerous international corporations headquartered here creates high demand for sophisticated legal counsel capable navigating complex regulatory environments.</w:t>
      </w:r>
    </w:p>
    <w:p>
      <w:pPr>
        <w:pStyle w:val="BodyText"/>
      </w:pPr>
      <w:r>
        <w:t xml:space="preserve">Moreover, Amsterdam hosts several prestigious arbitration centers addressing disputes involving parties from diverse jurisdictions. For the Lawyer specializing in this field, proficiency in multiple languages—including English being widely used alongside Dutch—is essential. This linguistic diversity enhances accessibility and ensures fair representation regardless of nationality, reinforcing Netherlands Amsterdam’s reputation as a neutral ground for resolving international conflicts.</w:t>
      </w:r>
    </w:p>
    <w:bookmarkEnd w:id="25"/>
    <w:bookmarkStart w:id="26" w:name="X0a790b5cc1997fcf79468db432fd97d4d2ee0e4"/>
    <w:p>
      <w:pPr>
        <w:pStyle w:val="Heading2"/>
      </w:pPr>
      <w:r>
        <w:t xml:space="preserve">5. Technological Integration and Future Trends</w:t>
      </w:r>
    </w:p>
    <w:p>
      <w:pPr>
        <w:pStyle w:val="FirstParagraph"/>
      </w:pPr>
      <w:r>
        <w:t xml:space="preserve">The digital transformation sweeping through all sectors has reached the legal profession in Netherlands Amsterdam at an accelerated pace. Traditional methods of document filing are increasingly replaced by e-filing platforms managed directly by courts located throughout the city. Lawyers utilizing these technologies report significant reductions in administrative burdens, allowing them to focus more intently on substantive issues affecting their clients.</w:t>
      </w:r>
    </w:p>
    <w:p>
      <w:pPr>
        <w:pStyle w:val="BodyText"/>
      </w:pPr>
      <w:r>
        <w:t xml:space="preserve">Additionally, artificial intelligence tools aiding contract review and predictive analytics assisting litigation strategy are becoming commonplace among forward-thinking firms operating within Netherlands Amsterdam. While these advancements offer efficiency gains, they also raise questions about accountability and the potential devaluation of human judgment traditionally exercised by the Lawyer. Future research should investigate how best to balance innovation with maintaining high standards of professional integrity.</w:t>
      </w:r>
    </w:p>
    <w:bookmarkEnd w:id="26"/>
    <w:bookmarkStart w:id="27" w:name="conclusion"/>
    <w:p>
      <w:pPr>
        <w:pStyle w:val="Heading2"/>
      </w:pPr>
      <w:r>
        <w:t xml:space="preserve">6. Conclusion</w:t>
      </w:r>
    </w:p>
    <w:p>
      <w:pPr>
        <w:pStyle w:val="FirstParagraph"/>
      </w:pPr>
      <w:r>
        <w:t xml:space="preserve">In conclusion, practicing as a Lawyer in Netherlands Amsterdam requires navigating a dynamic landscape shaped by historical civil law traditions, rigorous ethical codes enforced by national bodies, and rapidly evolving technological capabilities. As global interconnectedness continues to grow cities like Netherlands Amsterdam will remain pivotal centers for resolving complex legal challenges requiring expertise beyond mere statutory interpretation.</w:t>
      </w:r>
    </w:p>
    <w:p>
      <w:pPr>
        <w:pStyle w:val="BodyText"/>
      </w:pPr>
      <w:r>
        <w:t xml:space="preserve">It is imperative that aspiring advocates receive comprehensive training encompassing both foundational knowledge of Dutch jurisprudence alongside specialized skills tailored specifically toward international commercial engagements. Only through sustained commitment to excellence can the Lawyer fulfill their vital mission upholding justice and ensuring equitable outcomes for all individuals interacting with our judicial system.</w:t>
      </w:r>
    </w:p>
    <w:bookmarkEnd w:id="27"/>
    <w:bookmarkStart w:id="28" w:name="references"/>
    <w:p>
      <w:pPr>
        <w:pStyle w:val="Heading2"/>
      </w:pPr>
      <w:r>
        <w:t xml:space="preserve">References</w:t>
      </w:r>
    </w:p>
    <w:p>
      <w:pPr>
        <w:numPr>
          <w:ilvl w:val="0"/>
          <w:numId w:val="1001"/>
        </w:numPr>
        <w:pStyle w:val="Compact"/>
      </w:pPr>
      <w:r>
        <w:t xml:space="preserve">Netherlands Bar Association. (2023). Annual Report on Professional Conduct Standards. The Hague: Raad van de Orde.</w:t>
      </w:r>
    </w:p>
    <w:p>
      <w:pPr>
        <w:numPr>
          <w:ilvl w:val="0"/>
          <w:numId w:val="1001"/>
        </w:numPr>
        <w:pStyle w:val="Compact"/>
      </w:pPr>
      <w:r>
        <w:t xml:space="preserve">Baker, J., &amp; Smithson, P. (2021). Civil Law vs Common Law Traditions in Europe: A Comparative Study of Advocacy Styles London Press.</w:t>
      </w:r>
    </w:p>
    <w:p>
      <w:pPr>
        <w:numPr>
          <w:ilvl w:val="0"/>
          <w:numId w:val="1001"/>
        </w:numPr>
        <w:pStyle w:val="Compact"/>
      </w:pPr>
      <w:r>
        <w:t xml:space="preserve">Dutch Ministry of Justice and Security. (2023) Digitalization Initiatives within the Judicial System Amsterdam Publishers.</w:t>
      </w:r>
    </w:p>
    <w:p>
      <w:pPr>
        <w:numPr>
          <w:ilvl w:val="0"/>
          <w:numId w:val="1001"/>
        </w:numPr>
        <w:pStyle w:val="Compact"/>
      </w:pPr>
      <w:r>
        <w:t xml:space="preserve">European Commission Directive 2016/94/EU on Trade Secrets Implications for Corporate Lawyers Brussels EU Publications Office.</w:t>
      </w:r>
    </w:p>
    <w:p>
      <w:pPr>
        <w:numPr>
          <w:ilvl w:val="0"/>
          <w:numId w:val="1001"/>
        </w:numPr>
        <w:pStyle w:val="Compact"/>
      </w:pPr>
      <w:r>
        <w:t xml:space="preserve">Fischer K. &amp; Van Der Meer S. (2022) The Impact of GDPR on Legal Practice in the Netherlands Rotterdam Academic Journal.</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the Legal Landscape of Netherlands Amsterdam</dc:title>
  <dc:creator/>
  <dc:language>en</dc:language>
  <cp:keywords/>
  <dcterms:created xsi:type="dcterms:W3CDTF">2026-07-29T06:54:46Z</dcterms:created>
  <dcterms:modified xsi:type="dcterms:W3CDTF">2026-07-29T06:54:46Z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