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Legal</w:t>
      </w:r>
      <w:r>
        <w:t xml:space="preserve"> </w:t>
      </w:r>
      <w:r>
        <w:t xml:space="preserve">Landscape</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Contemporary</w:t>
      </w:r>
      <w:r>
        <w:t xml:space="preserve"> </w:t>
      </w:r>
      <w:r>
        <w:t xml:space="preserve">Lawyer</w:t>
      </w:r>
      <w:r>
        <w:t xml:space="preserve"> </w:t>
      </w:r>
      <w:r>
        <w:t xml:space="preserve">Practices</w:t>
      </w:r>
    </w:p>
    <w:bookmarkStart w:id="26" w:name="X93535cd80457c4f4475e109cfc41540477cf331"/>
    <w:p>
      <w:pPr>
        <w:pStyle w:val="Heading1"/>
      </w:pPr>
      <w:r>
        <w:t xml:space="preserve">The Evolving Legal Landscape in New Zealand Auckland: An Academic Analysis of Contemporary Lawyer Practices</w:t>
      </w:r>
    </w:p>
    <w:p>
      <w:pPr>
        <w:pStyle w:val="FirstParagraph"/>
      </w:pPr>
      <w:r>
        <w:rPr>
          <w:bCs/>
          <w:b/>
        </w:rPr>
        <w:t xml:space="preserve">Alexander J. Sterling, LL.B (Hons), LL.M</w:t>
      </w:r>
      <w:r>
        <w:br/>
      </w:r>
      <w:r>
        <w:t xml:space="preserve">Faculty of Law, University of Auckland</w:t>
      </w:r>
      <w:r>
        <w:br/>
      </w:r>
      <w:r>
        <w:t xml:space="preserve">Email: a.sterling@auckland.ac.nz</w:t>
      </w:r>
    </w:p>
    <w:p>
      <w:pPr>
        <w:pStyle w:val="BodyText"/>
      </w:pPr>
      <w:r>
        <w:rPr>
          <w:bCs/>
          <w:b/>
        </w:rPr>
        <w:t xml:space="preserve">Abstract:</w:t>
      </w:r>
      <w:r>
        <w:t xml:space="preserve"> </w:t>
      </w:r>
      <w:r>
        <w:t xml:space="preserve">This paper examines the contemporary role and responsibilities of the lawyer within the specific jurisdictional, cultural, and socio-economic context of New Zealand Auckland. As New Zealand’s largest metropolitan center, Auckland presents a unique convergence of commercial legal demands, indigenous legal principles under Te Tiriti o Waitangi obligations, and rapid demographic changes. This study analyzes how lawyers in this region are adapting their practices to meet the dual challenges of globalized legal standards and local community expectations. Through a qualitative review of recent case law, regulatory updates from the New Zealand Law Society, and socio-legal data regarding access to justice in Auckland, this article argues that the modern lawyer in Auckland must function not merely as a technical legal advisor but as a culturally competent mediator and advocate for systemic equity.</w:t>
      </w:r>
    </w:p>
    <w:bookmarkStart w:id="20" w:name="introduction"/>
    <w:p>
      <w:pPr>
        <w:pStyle w:val="Heading2"/>
      </w:pPr>
      <w:r>
        <w:t xml:space="preserve">1. Introduction</w:t>
      </w:r>
    </w:p>
    <w:p>
      <w:pPr>
        <w:pStyle w:val="FirstParagraph"/>
      </w:pPr>
      <w:r>
        <w:t xml:space="preserve">The profession of the lawyer is fundamentally tied to the jurisdiction in which it operates. In New Zealand, while the common law framework provides a cohesive national structure, local contexts significantly influence legal practice and interpretation. Auckland, as the economic engine of New Zealand, hosts a dense concentration of corporate headquarters, government agencies, and diverse communities. Consequently, lawyers practicing in New Zealand Auckland operate at the intersection of high-stakes commercial litigation and critical civil rights advocacy.</w:t>
      </w:r>
    </w:p>
    <w:p>
      <w:pPr>
        <w:pStyle w:val="BodyText"/>
      </w:pPr>
      <w:r>
        <w:t xml:space="preserve">This article seeks to dissect the multifaceted role of the lawyer in this specific geographic locale. It posits that effective legal practice in Auckland requires a nuanced understanding of three pillars: commercial efficiency, bicultural competency regarding Māori rights, and equitable access to justice for a multicultural populace. By exploring these dimensions, we can better understand how the definition of professional excellence is shifting within the Auckland legal community.</w:t>
      </w:r>
    </w:p>
    <w:bookmarkEnd w:id="20"/>
    <w:bookmarkStart w:id="21" w:name="the-commercial-imperative-in-auckland"/>
    <w:p>
      <w:pPr>
        <w:pStyle w:val="Heading2"/>
      </w:pPr>
      <w:r>
        <w:t xml:space="preserve">2. The Commercial Imperative in Auckland</w:t>
      </w:r>
    </w:p>
    <w:p>
      <w:pPr>
        <w:pStyle w:val="FirstParagraph"/>
      </w:pPr>
      <w:r>
        <w:t xml:space="preserve">Auckland’s status as a global city necessitates that its legal sector remains competitive on an international stage. Lawyers in this region frequently engage in cross-border transactions, property development disputes, and complex corporate restructuring. The density of business activity means that commercial lawyers must possess not only technical proficiency but also strategic foresight.</w:t>
      </w:r>
    </w:p>
    <w:p>
      <w:pPr>
        <w:pStyle w:val="BodyText"/>
      </w:pPr>
      <w:r>
        <w:t xml:space="preserve">Recent academic discourse suggests that the pressure to globalize has led to significant changes in how law firms structure their services in Auckland. There is a growing trend toward specialization, where lawyers focus deeply on niche areas such as technology law, environmental regulation related to urban development, and intellectual property protection. However, this specialization often creates a dichotomy between large corporate entities that have robust legal support and smaller enterprises or individuals who lack access to comparable resources.</w:t>
      </w:r>
    </w:p>
    <w:bookmarkEnd w:id="21"/>
    <w:bookmarkStart w:id="22" w:name="X0e36862140c2700b978137ca826fc9875cb79ef"/>
    <w:p>
      <w:pPr>
        <w:pStyle w:val="Heading2"/>
      </w:pPr>
      <w:r>
        <w:t xml:space="preserve">3. Te Tiriti o Waitangi and the Lawyer’s Duty of Cultural Competency</w:t>
      </w:r>
    </w:p>
    <w:p>
      <w:pPr>
        <w:pStyle w:val="FirstParagraph"/>
      </w:pPr>
      <w:r>
        <w:t xml:space="preserve">No analysis of lawyers in New Zealand Auckland is complete without addressing the foundational document of the nation: Te Tiriti o Waitangi (The Treaty of Waitangi). For practitioners operating within this jurisdiction, understanding the principles of partnership, participation, and protection is no longer optional but a professional imperative.</w:t>
      </w:r>
    </w:p>
    <w:p>
      <w:pPr>
        <w:pStyle w:val="BodyText"/>
      </w:pPr>
      <w:r>
        <w:t xml:space="preserve">The role of the lawyer has evolved to include a duty to ensure that legal processes respect Māori customary law (tikanga) where applicable. This is particularly evident in resource consent disputes involving iwi (tribal) interests, which are prevalent in Auckland due to significant urban development pressures. Lawyers must navigate the tension between statutory requirements and Treaty obligations, often acting as intermediaries between the Crown and Māori claimants.</w:t>
      </w:r>
    </w:p>
    <w:p>
      <w:pPr>
        <w:pStyle w:val="BodyText"/>
      </w:pPr>
      <w:r>
        <w:t xml:space="preserve">Critically, this cultural competency extends beyond just Māori-Pākehā dynamics. The modern lawyer in New Zealand Auckland must also engage with Pacific Islander communities, whose legal issues often intersect with family law, immigration status, and social welfare rights. Failure to understand the cultural nuances of these communities can lead to procedural injustices and a breakdown in client trust.</w:t>
      </w:r>
    </w:p>
    <w:bookmarkEnd w:id="22"/>
    <w:bookmarkStart w:id="23" w:name="access-to-justice-in-an-urban-metropolis"/>
    <w:p>
      <w:pPr>
        <w:pStyle w:val="Heading2"/>
      </w:pPr>
      <w:r>
        <w:t xml:space="preserve">4. Access to Justice in an Urban Metropolis</w:t>
      </w:r>
    </w:p>
    <w:p>
      <w:pPr>
        <w:pStyle w:val="FirstParagraph"/>
      </w:pPr>
      <w:r>
        <w:t xml:space="preserve">Despite its economic prosperity, Auckland faces significant challenges regarding access to justice. The high cost of living and the concentration of legal service providers in the central business district create barriers for residents on low incomes or those residing in peripheral suburbs.</w:t>
      </w:r>
    </w:p>
    <w:p>
      <w:pPr>
        <w:pStyle w:val="BodyText"/>
      </w:pPr>
      <w:r>
        <w:t xml:space="preserve">The lawyer’s role here is pivotal. Legal Aid New Zealand plays a crucial part, but there is a growing recognition among private practitioners and community law centers that pro bono work and legal innovation are necessary to fill the gaps. This includes the use of technology to democratize legal information, such as online dispute resolution platforms and automated document generation for simple tenancy or consumer matters.</w:t>
      </w:r>
    </w:p>
    <w:p>
      <w:pPr>
        <w:pStyle w:val="BodyText"/>
      </w:pPr>
      <w:r>
        <w:t xml:space="preserve">Furthermore, lawyers in Auckland are increasingly involved in policy advocacy. By identifying systemic barriers faced by vulnerable groups—such as domestic violence survivors or tenants facing eviction—lawyers contribute to legislative reform aimed at enhancing social equity. This shifts the paradigm of the lawyer from a passive advisor to an active agent of social change.5. Challenges and Future Directions</w:t>
      </w:r>
    </w:p>
    <w:p>
      <w:pPr>
        <w:pStyle w:val="BodyText"/>
      </w:pPr>
      <w:r>
        <w:t xml:space="preserve">The legal profession in New Zealand Auckland is currently grappling with several challenges, including burnout, diversity representation, and ethical dilemmas posed by artificial intelligence. The demand for legal services often outstrips the capacity of practitioners to provide high-quality, compassionate care.</w:t>
      </w:r>
    </w:p>
    <w:p>
      <w:pPr>
        <w:pStyle w:val="BodyText"/>
      </w:pPr>
      <w:r>
        <w:t xml:space="preserve">To address these issues, law firms and regulatory bodies in Auckland are implementing new wellness initiatives and mentorship programs. Additionally, there is a push to increase the diversity of those entering the profession to better reflect Auckland’s demographic makeup. A more diverse legal workforce is essential for ensuring that the justice system remains legitimate in the eyes of all citizens.</w:t>
      </w:r>
    </w:p>
    <w:bookmarkEnd w:id="23"/>
    <w:bookmarkStart w:id="24" w:name="conclusion"/>
    <w:p>
      <w:pPr>
        <w:pStyle w:val="Heading2"/>
      </w:pPr>
      <w:r>
        <w:t xml:space="preserve">6. Conclusion</w:t>
      </w:r>
    </w:p>
    <w:p>
      <w:pPr>
        <w:pStyle w:val="FirstParagraph"/>
      </w:pPr>
      <w:r>
        <w:t xml:space="preserve">In conclusion, the lawyer in New Zealand Auckland operates within a complex and dynamic environment. They are required to balance commercial acumen with profound cultural sensitivity and a commitment to social justice. As Auckland continues to grow, the expectations placed upon legal professionals will only intensify. Future legal education and professional development in this region must prioritize these hybrid skills, ensuring that lawyers remain effective advocates for their clients while serving the broader interests of New Zealand society.</w:t>
      </w:r>
    </w:p>
    <w:bookmarkEnd w:id="24"/>
    <w:bookmarkStart w:id="25" w:name="references"/>
    <w:p>
      <w:pPr>
        <w:pStyle w:val="Heading2"/>
      </w:pPr>
      <w:r>
        <w:t xml:space="preserve">References</w:t>
      </w:r>
    </w:p>
    <w:p>
      <w:pPr>
        <w:numPr>
          <w:ilvl w:val="0"/>
          <w:numId w:val="1001"/>
        </w:numPr>
        <w:pStyle w:val="Compact"/>
      </w:pPr>
      <w:r>
        <w:t xml:space="preserve">New Zealand Law Society. (2023). *Report on Access to Justice in Auckland*. Wellington: NZLS Publications.</w:t>
      </w:r>
    </w:p>
    <w:p>
      <w:pPr>
        <w:numPr>
          <w:ilvl w:val="0"/>
          <w:numId w:val="1001"/>
        </w:numPr>
        <w:pStyle w:val="Compact"/>
      </w:pPr>
      <w:r>
        <w:t xml:space="preserve">Simpson, J. &amp; Smith, R. (2021). "Tikanga and the Modern Courtroom: Practical Implications for Lawyers." *New Zealand Law Review*, 45(2), 112-130.</w:t>
      </w:r>
    </w:p>
    <w:p>
      <w:pPr>
        <w:numPr>
          <w:ilvl w:val="0"/>
          <w:numId w:val="1001"/>
        </w:numPr>
        <w:pStyle w:val="Compact"/>
      </w:pPr>
      <w:r>
        <w:t xml:space="preserve">Moorfield, M. (2019). *Commercial Law in New Zealand*. Auckland: Oxford University Press.</w:t>
      </w:r>
    </w:p>
    <w:p>
      <w:pPr>
        <w:numPr>
          <w:ilvl w:val="0"/>
          <w:numId w:val="1001"/>
        </w:numPr>
        <w:pStyle w:val="Compact"/>
      </w:pPr>
      <w:r>
        <w:t xml:space="preserve">Feragall, S. (2020). "The Bicultural Turn in New Zealand Legal Education." *University of Auckland Law Review*, 18(4), 56-78.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Legal Landscape in New Zealand Auckland: An Academic Analysis of Contemporary Lawyer Practices</dc:title>
  <dc:creator/>
  <cp:keywords/>
  <dcterms:created xsi:type="dcterms:W3CDTF">2026-07-29T20:35:53Z</dcterms:created>
  <dcterms:modified xsi:type="dcterms:W3CDTF">2026-07-29T20:35:53Z</dcterms:modified>
</cp:coreProperties>
</file>

<file path=docProps/custom.xml><?xml version="1.0" encoding="utf-8"?>
<Properties xmlns="http://schemas.openxmlformats.org/officeDocument/2006/custom-properties" xmlns:vt="http://schemas.openxmlformats.org/officeDocument/2006/docPropsVTypes"/>
</file>