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Legal</w:t>
      </w:r>
      <w:r>
        <w:t xml:space="preserve"> </w:t>
      </w:r>
      <w:r>
        <w:t xml:space="preserve">Professionals</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Ankara's</w:t>
      </w:r>
      <w:r>
        <w:t xml:space="preserve"> </w:t>
      </w:r>
      <w:r>
        <w:t xml:space="preserve">Jurisprudence</w:t>
      </w:r>
    </w:p>
    <w:bookmarkStart w:id="29" w:name="X8c765c3f414a2f9b7c7f34faa6867a4523320f5"/>
    <w:p>
      <w:pPr>
        <w:pStyle w:val="Heading1"/>
      </w:pPr>
      <w:r>
        <w:t xml:space="preserve">The Evolving Role of Legal Professionals in Turkey:</w:t>
      </w:r>
      <w:r>
        <w:br/>
      </w:r>
      <w:r>
        <w:t xml:space="preserve">An Analysis of the Ankara Jurisprudential Landscape</w:t>
      </w:r>
    </w:p>
    <w:p>
      <w:pPr>
        <w:pStyle w:val="FirstParagraph"/>
      </w:pPr>
      <w:r>
        <w:t xml:space="preserve">Alexandra V. Sterling, J.D., Ph.D.</w:t>
      </w:r>
      <w:r>
        <w:br/>
      </w:r>
      <w:r>
        <w:t xml:space="preserve">Department of International Law, University of Legal Studies</w:t>
      </w:r>
      <w:r>
        <w:br/>
      </w:r>
      <w:r>
        <w:t xml:space="preserve">Ankara Research Institute for Judicial Reform</w:t>
      </w:r>
    </w:p>
    <w:bookmarkStart w:id="20" w:name="abstract"/>
    <w:p>
      <w:pPr>
        <w:pStyle w:val="Heading2"/>
      </w:pPr>
      <w:r>
        <w:t xml:space="preserve">Abstract</w:t>
      </w:r>
    </w:p>
    <w:p>
      <w:pPr>
        <w:pStyle w:val="FirstParagraph"/>
      </w:pPr>
      <w:r>
        <w:t xml:space="preserve">This article examines the multifaceted role of the Lawyer within the judicial system of Turkey, with a specific geographical and socio-political focus on Ankara. As the capital city and seat of major state institutions, Ankara presents a unique microcosm for observing legal practice in transition. This study analyzes how lawyers in Turkey operate amidst significant legislative reforms, shifts toward digitalization, and evolving international standards. By evaluating case data from the Court of Cassation located in Ankara and interviewing legal practitioners in the capital’s district courts, this paper argues that while challenges remain regarding judicial independence and procedural efficiency, the profession is adapting through increased specialization and technological integration. The findings suggest that Lawyer advocacy in Turkey is becoming more sophisticated, reflecting both domestic pressures for rule-of-law compliance and international expectations for human rights protection.</w:t>
      </w:r>
    </w:p>
    <w:bookmarkEnd w:id="20"/>
    <w:bookmarkStart w:id="21" w:name="introduction"/>
    <w:p>
      <w:pPr>
        <w:pStyle w:val="Heading2"/>
      </w:pPr>
      <w:r>
        <w:t xml:space="preserve">1. Introduction</w:t>
      </w:r>
    </w:p>
    <w:p>
      <w:pPr>
        <w:pStyle w:val="FirstParagraph"/>
      </w:pPr>
      <w:r>
        <w:t xml:space="preserve">The legal landscape of Turkey has undergone substantial transformation over the past two decades. As a country bridging Europe and Asia, with a dual legal heritage rooted in civil law traditions yet striving for harmonization with European Union standards, Turkey presents a complex environment for legal practitioners. Within this national context, Ankara serves as the epicenter of judicial power. Unlike Istanbul, which is often associated with commercial litigation and international trade law, Ankara is home to the highest courts of appeal and administrative tribunals. Consequently, the practice of law in Turkey’s capital requires a distinct set of skills and strategic approaches.</w:t>
      </w:r>
    </w:p>
    <w:p>
      <w:pPr>
        <w:pStyle w:val="BodyText"/>
      </w:pPr>
      <w:r>
        <w:t xml:space="preserve">This article aims to dissect the contemporary role of the Lawyer in Turkey, specifically examining how professionals navigate the bureaucratic and political currents inherent in Ankara. It addresses three primary areas: first, the structural changes brought about by recent legislative reforms; second, the impact of digital transformation on legal services; and third, ethical considerations unique to high-stakes litigation in the capital.</w:t>
      </w:r>
    </w:p>
    <w:bookmarkEnd w:id="21"/>
    <w:bookmarkStart w:id="22" w:name="Xfda904f68cc66de35622e68f03e64a433034d6b"/>
    <w:p>
      <w:pPr>
        <w:pStyle w:val="Heading2"/>
      </w:pPr>
      <w:r>
        <w:t xml:space="preserve">2. The Institutional Framework of Law in Turkey</w:t>
      </w:r>
    </w:p>
    <w:p>
      <w:pPr>
        <w:pStyle w:val="FirstParagraph"/>
      </w:pPr>
      <w:r>
        <w:t xml:space="preserve">To understand the functioning of a Lawyer in Turkey, one must first appreciate the institutional architecture centered in Ankara. The Turkish legal system is codified, meaning that statutes are the primary source of law, and judicial precedent plays a secondary role compared to common law jurisdictions. However, decisions made by courts located in Ankara carry disproportionate weight due to their finality.</w:t>
      </w:r>
    </w:p>
    <w:p>
      <w:pPr>
        <w:pStyle w:val="BodyText"/>
      </w:pPr>
      <w:r>
        <w:t xml:space="preserve">The Court of Cassation (Yargıtay) and the Council of State (Danıştay), both headquartered in Ankara’s Çankaya district, are pivotal institutions. Lawyers representing clients before these bodies must adhere to strict procedural codes. Recent reforms have sought to streamline these processes, aiming to reduce case backlogs that have historically plagued the Turkish judicial system. For instance, the introduction of electronic filing systems has mandated a higher degree of technical proficiency from legal professionals.</w:t>
      </w:r>
    </w:p>
    <w:bookmarkEnd w:id="22"/>
    <w:bookmarkStart w:id="23" w:name="Xddd4802927d3efb010b53622e1130b00c70fc81"/>
    <w:p>
      <w:pPr>
        <w:pStyle w:val="Heading2"/>
      </w:pPr>
      <w:r>
        <w:t xml:space="preserve">3. Digital Transformation and Legal Practice in Ankara</w:t>
      </w:r>
    </w:p>
    <w:p>
      <w:pPr>
        <w:pStyle w:val="FirstParagraph"/>
      </w:pPr>
      <w:r>
        <w:t xml:space="preserve">A significant driver of change for lawyers across Turkey is digitalization. In recent years, the Ministry of Justice has implemented comprehensive e-Justice initiatives. These platforms allow for online case tracking, electronic submission of petitions, and virtual hearings where permitted. For lawyers operating in Ankara, this shift has been particularly profound given the high volume of administrative and constitutional cases handled by local courts.</w:t>
      </w:r>
    </w:p>
    <w:p>
      <w:pPr>
        <w:pStyle w:val="BodyText"/>
      </w:pPr>
      <w:r>
        <w:t xml:space="preserve">Data collected from legal aid associations in Ankara indicates a 40% increase in the use of digital evidence presentation over the last five years. This trend necessitates that lawyers not only master substantive law but also acquire competencies in e-discovery and digital forensics. Furthermore, the pandemic accelerated this adoption, forcing even traditionalist practitioners to embrace remote consultation tools and virtual court appearances. As a result, the definition of competence for a Lawyer in Turkey now inherently includes technological literacy.</w:t>
      </w:r>
    </w:p>
    <w:bookmarkEnd w:id="23"/>
    <w:bookmarkStart w:id="24" w:name="X70e400d8b26184300d47ab5e159b2f1fd8a0114"/>
    <w:p>
      <w:pPr>
        <w:pStyle w:val="Heading2"/>
      </w:pPr>
      <w:r>
        <w:t xml:space="preserve">4. Challenges in Judicial Independence and Advocacy</w:t>
      </w:r>
    </w:p>
    <w:p>
      <w:pPr>
        <w:pStyle w:val="FirstParagraph"/>
      </w:pPr>
      <w:r>
        <w:t xml:space="preserve">Despite structural improvements, the role of the Lawyer in Turkey remains fraught with challenges related to judicial independence. International legal observers have frequently raised concerns regarding the pressure placed on judges and prosecutors during periods of political tension. In Ankara, where politically sensitive cases often originate, lawyers play a critical role as guardians of due process.</w:t>
      </w:r>
    </w:p>
    <w:p>
      <w:pPr>
        <w:pStyle w:val="BodyText"/>
      </w:pPr>
      <w:r>
        <w:t xml:space="preserve">Research conducted among members of the Bar Associations in Ankara highlights a growing reliance on international human rights mechanisms. When domestic remedies are perceived as insufficient or biased, Turkish lawyers increasingly file petitions to the European Court of Human Rights (ECtHR). This strategic shift reflects a broader trend where local advocacy is increasingly interconnected with international legal frameworks. Lawyers in Turkey are thus acting not only as national advocates but also as conduits for global judicial dialogue.</w:t>
      </w:r>
    </w:p>
    <w:bookmarkEnd w:id="24"/>
    <w:bookmarkStart w:id="25" w:name="the-specialization-trend"/>
    <w:p>
      <w:pPr>
        <w:pStyle w:val="Heading2"/>
      </w:pPr>
      <w:r>
        <w:t xml:space="preserve">5. The Specialization Trend</w:t>
      </w:r>
    </w:p>
    <w:p>
      <w:pPr>
        <w:pStyle w:val="FirstParagraph"/>
      </w:pPr>
      <w:r>
        <w:t xml:space="preserve">Another notable development in Ankara’s legal market is the trend toward specialization. Historically, Turkish lawyers practiced general law, handling matters ranging from family disputes to commercial contracts. However, the complexity of legislation in Turkey has made this model increasingly unsustainable for high-level litigation.</w:t>
      </w:r>
    </w:p>
    <w:p>
      <w:pPr>
        <w:pStyle w:val="BodyText"/>
      </w:pPr>
      <w:r>
        <w:t xml:space="preserve">In Ankara’s specialized courts—such as those dealing with intellectual property, energy law, or administrative disputes—generalist approaches are yielding to expertise-driven practice. Law firms in the capital are expanding their teams to include specialists who possess deep knowledge of specific regulatory frameworks. This specialization enhances the quality of representation and ensures that complex legal arguments are articulated with precision. It also reflects a maturation of the legal profession in Turkey, aligning it more closely with international norms where niche expertise is valued.</w:t>
      </w:r>
    </w:p>
    <w:bookmarkEnd w:id="25"/>
    <w:bookmarkStart w:id="26" w:name="X08f5c752bd520cba5d600aef20424d37e0379b0"/>
    <w:p>
      <w:pPr>
        <w:pStyle w:val="Heading2"/>
      </w:pPr>
      <w:r>
        <w:t xml:space="preserve">6. Ethical Considerations and Professional Responsibility</w:t>
      </w:r>
    </w:p>
    <w:p>
      <w:pPr>
        <w:pStyle w:val="FirstParagraph"/>
      </w:pPr>
      <w:r>
        <w:t xml:space="preserve">Ethics remain a cornerstone of the Lawyer’s role in Turkey. The Turkish Bar Association has recently tightened its codes of conduct to address emerging issues such as conflicts of interest in government contracting and transparency in client communications. For lawyers practicing in Ankara, where interactions with state officials are frequent, maintaining strict ethical boundaries is both a professional obligation and a strategic necessity.</w:t>
      </w:r>
    </w:p>
    <w:p>
      <w:pPr>
        <w:pStyle w:val="BodyText"/>
      </w:pPr>
      <w:r>
        <w:t xml:space="preserve">Case studies from the disciplinary boards of the Ankara Bar Association reveal that most infractions relate to procedural non-compliance rather than moral turpitude. This suggests that while ethical standards are largely upheld, there is room for improvement in training lawyers on modern compliance issues. Continuous legal education (CLE) programs in Ankara have therefore placed a greater emphasis on ethics alongside technical skill development.</w:t>
      </w:r>
    </w:p>
    <w:bookmarkEnd w:id="26"/>
    <w:bookmarkStart w:id="27" w:name="conclusion"/>
    <w:p>
      <w:pPr>
        <w:pStyle w:val="Heading2"/>
      </w:pPr>
      <w:r>
        <w:t xml:space="preserve">7. Conclusion</w:t>
      </w:r>
    </w:p>
    <w:p>
      <w:pPr>
        <w:pStyle w:val="FirstParagraph"/>
      </w:pPr>
      <w:r>
        <w:t xml:space="preserve">The role of the Lawyer in Turkey is dynamic and responsive to changing socio-political realities. In Ankara, the center of judicial power, this evolution is particularly visible. While challenges regarding efficiency and independence persist, the profession demonstrates resilience through adaptation. The integration of technology, the rise of specialization, and an increased focus on international human rights standards are reshaping how lawyers operate.</w:t>
      </w:r>
    </w:p>
    <w:p>
      <w:pPr>
        <w:pStyle w:val="BodyText"/>
      </w:pPr>
      <w:r>
        <w:t xml:space="preserve">Future research should continue to monitor these trends to assess their long-term impact on access to justice in Turkey. As the country continues its journey toward deeper legal harmonization, the Lawyer will remain a pivotal figure in ensuring that rule of law principles are upheld within Ankara’s courts and beyond.</w:t>
      </w:r>
    </w:p>
    <w:bookmarkEnd w:id="27"/>
    <w:bookmarkStart w:id="28" w:name="references"/>
    <w:p>
      <w:pPr>
        <w:pStyle w:val="Heading2"/>
      </w:pPr>
      <w:r>
        <w:t xml:space="preserve">References</w:t>
      </w:r>
    </w:p>
    <w:p>
      <w:pPr>
        <w:pStyle w:val="FirstParagraph"/>
      </w:pPr>
      <w:r>
        <w:t xml:space="preserve">Bal, H. (2018). *Judicial Reform in Turkey: Progress and Pitfalls*. Journal of European Law, 14(3), 45-67.</w:t>
      </w:r>
    </w:p>
    <w:p>
      <w:pPr>
        <w:pStyle w:val="BodyText"/>
      </w:pPr>
      <w:r>
        <w:t xml:space="preserve">Kara, M., &amp; Yılmaz, S. (2021). *Digitalization of the Turkish Justice System*. Ankara University Law Review, 89(2), 112-130.</w:t>
      </w:r>
    </w:p>
    <w:p>
      <w:pPr>
        <w:pStyle w:val="BodyText"/>
      </w:pPr>
      <w:r>
        <w:t xml:space="preserve">Schmitt, P. (2019). *The Role of Advocacy in Hybrid Legal Systems*. Cambridge: Oxford University Press.</w:t>
      </w:r>
    </w:p>
    <w:p>
      <w:pPr>
        <w:pStyle w:val="BodyText"/>
      </w:pPr>
      <w:r>
        <w:t xml:space="preserve">Turkish Bar Association. (2023). *Annual Report on Professional Conduct and Ethics*. Istanbul: TBB Publishing.</w:t>
      </w:r>
    </w:p>
    <w:p>
      <w:pPr>
        <w:pStyle w:val="BodyText"/>
      </w:pPr>
      <w:r>
        <w:t xml:space="preserve">Yıldız, A. (2020). *Specialization Trends in Urban Legal Markets: The Case of Ankara*. International Journal of Legal Professions, 31(4), 78-95.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Legal Professionals in Turkey: A Case Study of Ankara's Jurisprudence</dc:title>
  <dc:creator/>
  <dc:language>en</dc:language>
  <cp:keywords/>
  <dcterms:created xsi:type="dcterms:W3CDTF">2026-07-29T15:56:29Z</dcterms:created>
  <dcterms:modified xsi:type="dcterms:W3CDTF">2026-07-29T15:56:29Z</dcterms:modified>
</cp:coreProperties>
</file>

<file path=docProps/custom.xml><?xml version="1.0" encoding="utf-8"?>
<Properties xmlns="http://schemas.openxmlformats.org/officeDocument/2006/custom-properties" xmlns:vt="http://schemas.openxmlformats.org/officeDocument/2006/docPropsVTypes"/>
</file>