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Navigating</w:t>
      </w:r>
      <w:r>
        <w:t xml:space="preserve"> </w:t>
      </w:r>
      <w:r>
        <w:t xml:space="preserve">Legal</w:t>
      </w:r>
      <w:r>
        <w:t xml:space="preserve"> </w:t>
      </w:r>
      <w:r>
        <w:t xml:space="preserve">Pluralism</w:t>
      </w:r>
      <w:r>
        <w:t xml:space="preserve"> </w:t>
      </w:r>
      <w:r>
        <w:t xml:space="preserve">and</w:t>
      </w:r>
      <w:r>
        <w:t xml:space="preserve"> </w:t>
      </w:r>
      <w:r>
        <w:t xml:space="preserve">Modernization</w:t>
      </w:r>
    </w:p>
    <w:bookmarkStart w:id="32" w:name="X191c87cabbca45d55bcbb8f720c8ca98ef12d09"/>
    <w:p>
      <w:pPr>
        <w:pStyle w:val="Heading1"/>
      </w:pPr>
      <w:r>
        <w:t xml:space="preserve">The Evolving Role of the Lawyer in the United Arab Emirates Abu Dhabi: Navigating Legal Pluralism and Modernization</w:t>
      </w:r>
    </w:p>
    <w:p>
      <w:pPr>
        <w:pStyle w:val="FirstParagraph"/>
      </w:pPr>
      <w:r>
        <w:t xml:space="preserve">A Critical Analysis of Professional Ethics, Civil Code Integration, and International Commercial Law in a Global Hub</w:t>
      </w:r>
    </w:p>
    <w:p>
      <w:pPr>
        <w:pStyle w:val="BodyText"/>
      </w:pPr>
      <w:r>
        <w:rPr>
          <w:bCs/>
          <w:b/>
        </w:rPr>
        <w:t xml:space="preserve">Abstract:</w:t>
      </w:r>
      <w:r>
        <w:br/>
      </w:r>
      <w:r>
        <w:t xml:space="preserve">This article examines the contemporary status and professional obligations of the lawyer within the jurisdiction of the United Arab Emirates Abu Dhabi. As Abu Dhabi solidifies its position as a global financial and legal hub, the role of local and international practitioners has undergone significant transformation. This paper explores the intersection of Islamic Sharia principles, civil law traditions, and emerging commercial regulations. Special attention is given to regulatory frameworks established by the Ministry of Justice in Abu Dhabi, ethical standards regarding client confidentiality, and the increasing demand for specialized expertise in arbitration and corporate governance. The study argues that the modern lawyer in this jurisdiction must possess a nuanced understanding of legal pluralism to effectively serve diverse clientele while maintaining strict adherence to local statutory requirements.</w:t>
      </w:r>
    </w:p>
    <w:bookmarkStart w:id="20" w:name="introduction"/>
    <w:p>
      <w:pPr>
        <w:pStyle w:val="Heading2"/>
      </w:pPr>
      <w:r>
        <w:t xml:space="preserve">1. Introduction</w:t>
      </w:r>
    </w:p>
    <w:p>
      <w:pPr>
        <w:pStyle w:val="FirstParagraph"/>
      </w:pPr>
      <w:r>
        <w:t xml:space="preserve">The legal landscape of the United Arab Emirates Abu Dhabi has witnessed profound changes over the past two decades, driven by ambitious economic diversification strategies and a commitment to internationalizing its judicial framework. At the heart of this transformation is the lawyer—a professional whose role extends far beyond traditional litigation. In Abu Dhabi, lawyers act as critical intermediaries between local statutory mandates and global commercial practices. The jurisdiction's unique legal hybridity, which blends elements of civil law inherited from French and Egyptian models with Islamic Sharia principles, presents a complex environment for legal practitioners.</w:t>
      </w:r>
    </w:p>
    <w:p>
      <w:pPr>
        <w:pStyle w:val="BodyText"/>
      </w:pPr>
      <w:r>
        <w:t xml:space="preserve">This article aims to analyze the multifaceted role of the lawyer in Abu Dhabi today. It investigates how recent legislative reforms have impacted professional conduct, access to justice, and cross-border legal practice. Furthermore, it highlights the specific challenges faced by lawyers operating within this distinct geopolitical context, emphasizing the need for cultural competence alongside rigorous legal expertise.</w:t>
      </w:r>
    </w:p>
    <w:bookmarkEnd w:id="20"/>
    <w:bookmarkStart w:id="23" w:name="Xd0903cd010b34d57eb6452ad10e7194430a3a0f"/>
    <w:p>
      <w:pPr>
        <w:pStyle w:val="Heading2"/>
      </w:pPr>
      <w:r>
        <w:t xml:space="preserve">2. Historical Context and Legal Pluralism in Abu Dhabi</w:t>
      </w:r>
    </w:p>
    <w:bookmarkStart w:id="21" w:name="the-civil-code-foundation"/>
    <w:p>
      <w:pPr>
        <w:pStyle w:val="Heading3"/>
      </w:pPr>
      <w:r>
        <w:t xml:space="preserve">2.1 The Civil Code Foundation</w:t>
      </w:r>
    </w:p>
    <w:p>
      <w:pPr>
        <w:pStyle w:val="FirstParagraph"/>
      </w:pPr>
      <w:r>
        <w:t xml:space="preserve">To understand the current practice of law in Abu Dhabi, one must first appreciate the foundational legal structures established by Federal Laws which apply uniformly across all emirates, including Abu Dhabi. The primary source of legislation is derived from the UAE Constitution and subsequent federal decrees. However, personal status laws remain distinctively tied to Islamic Sharia for Muslim citizens, while non-Muslims benefit from more recent amendments allowing for their home country’s laws in certain personal matters.</w:t>
      </w:r>
    </w:p>
    <w:p>
      <w:pPr>
        <w:pStyle w:val="BodyText"/>
      </w:pPr>
      <w:r>
        <w:t xml:space="preserve">For lawyers practicing in Abu Dhabi, this duality requires a high degree of specialization. A lawyer handling family law matters must possess deep knowledge of Sharia-compliant jurisprudence, whereas those engaged in commercial arbitration must navigate the Federal Civil Transactions Law and international conventions ratified by the UAE. This legal pluralism is not merely academic; it dictates daily practice, requiring lawyers to carefully determine which legal framework applies to any given dispute.</w:t>
      </w:r>
    </w:p>
    <w:bookmarkEnd w:id="21"/>
    <w:bookmarkStart w:id="22" w:name="the-rise-of-abu-dhabi-global-market-adgm"/>
    <w:p>
      <w:pPr>
        <w:pStyle w:val="Heading3"/>
      </w:pPr>
      <w:r>
        <w:t xml:space="preserve">2.2 The Rise of Abu Dhabi Global Market (ADGM)</w:t>
      </w:r>
    </w:p>
    <w:p>
      <w:pPr>
        <w:pStyle w:val="FirstParagraph"/>
      </w:pPr>
      <w:r>
        <w:t xml:space="preserve">A significant deviation from the mainland civil law system occurred with the establishment of the Abu Dhabi Global Market (ADGM). Operating as a financial free zone, ADGM utilizes a common law-based legal framework derived largely from English law. This has created a bifurcated legal environment within Abu Dhabi itself. Lawyers practicing within ADGM are often required to be registered under specific regulatory regimes that differ from those on the mainland. Consequently, the term "lawyer in Abu Dhabi" now encompasses two distinct professional identities: those adhering to the civil law traditions of the UAE mainland and those operating under the common law principles of ADGM.</w:t>
      </w:r>
    </w:p>
    <w:bookmarkEnd w:id="22"/>
    <w:bookmarkEnd w:id="23"/>
    <w:bookmarkStart w:id="26" w:name="X0572e3f09fa81ecaefc09353e794c46e425a3d0"/>
    <w:p>
      <w:pPr>
        <w:pStyle w:val="Heading2"/>
      </w:pPr>
      <w:r>
        <w:t xml:space="preserve">3. Regulatory Framework and Professional Ethics</w:t>
      </w:r>
    </w:p>
    <w:p>
      <w:pPr>
        <w:pStyle w:val="FirstParagraph"/>
      </w:pPr>
      <w:r>
        <w:t xml:space="preserve">The practice of law in Abu Dhabi is strictly regulated by the Ministry of Justice, which imposes rigorous licensing requirements on both local and foreign lawyers. To practice as a legal representative in federal courts, individuals must hold a Bachelor’s degree in Law or Sharia from an accredited institution and pass specific proficiency examinations administered by the Ministry.</w:t>
      </w:r>
    </w:p>
    <w:bookmarkStart w:id="24" w:name="licensing-and-accreditation"/>
    <w:p>
      <w:pPr>
        <w:pStyle w:val="Heading3"/>
      </w:pPr>
      <w:r>
        <w:t xml:space="preserve">3.1 Licensing and Accreditation</w:t>
      </w:r>
    </w:p>
    <w:p>
      <w:pPr>
        <w:pStyle w:val="FirstParagraph"/>
      </w:pPr>
      <w:r>
        <w:t xml:space="preserve">The licensing process serves as a gatekeeping mechanism to ensure that only qualified individuals provide legal services. For foreign lawyers, opportunities are more limited primarily confined to advisory roles or representation in free zones like ADGM unless they collaborate with local UAE nationals through law firms. This regulatory structure underscores the state’s commitment to preserving national sovereignty over its judicial processes while simultaneously inviting international expertise.</w:t>
      </w:r>
    </w:p>
    <w:bookmarkEnd w:id="24"/>
    <w:bookmarkStart w:id="25" w:name="ethical-obligations-and-confidentiality"/>
    <w:p>
      <w:pPr>
        <w:pStyle w:val="Heading3"/>
      </w:pPr>
      <w:r>
        <w:t xml:space="preserve">3.2 Ethical Obligations and Confidentiality</w:t>
      </w:r>
    </w:p>
    <w:p>
      <w:pPr>
        <w:pStyle w:val="FirstParagraph"/>
      </w:pPr>
      <w:r>
        <w:t xml:space="preserve">Ethical standards for lawyers in Abu Dhabi are codified within federal laws and local decrees issued by the Department of Justice in Abu Dhabi. Key among these obligations is the duty of confidentiality, which protects client communications from disclosure unless mandated by law or waived by the client. Breaches of ethical codes can result in severe penalties, including suspension or disbarment.</w:t>
      </w:r>
    </w:p>
    <w:p>
      <w:pPr>
        <w:pStyle w:val="BodyText"/>
      </w:pPr>
      <w:r>
        <w:t xml:space="preserve">Furthermore, lawyers are expected to maintain integrity and independence. In a jurisdiction where government entities play a significant role in the economy and legal system, lawyers must navigate potential conflicts of interest with considerable care. Recent amendments have strengthened disciplinary committees within Abu Dhabi, ensuring that ethical violations are addressed swiftly and transparently.</w:t>
      </w:r>
    </w:p>
    <w:bookmarkEnd w:id="25"/>
    <w:bookmarkEnd w:id="26"/>
    <w:bookmarkStart w:id="28" w:name="Xf5dd76b7b4da55cd2c6ad2f8d1853e2a1b074f5"/>
    <w:p>
      <w:pPr>
        <w:pStyle w:val="Heading2"/>
      </w:pPr>
      <w:r>
        <w:t xml:space="preserve">4. The Lawyer in International Commerce and Dispute Resolution</w:t>
      </w:r>
    </w:p>
    <w:p>
      <w:pPr>
        <w:pStyle w:val="FirstParagraph"/>
      </w:pPr>
      <w:r>
        <w:t xml:space="preserve">As Abu Dhabi positions itself as a gateway between East and West, the demand for lawyers skilled in international commercial law has surged. Multinational corporations establishing headquarters or regional offices in Abu Dhabi require legal counsel capable of navigating complex cross-border transactions, joint ventures, and regulatory compliance issues.</w:t>
      </w:r>
    </w:p>
    <w:bookmarkStart w:id="27" w:name="X892592f576fd963233fc2dcd44f62fe69324a76"/>
    <w:p>
      <w:pPr>
        <w:pStyle w:val="Heading3"/>
      </w:pPr>
      <w:r>
        <w:t xml:space="preserve">4.1 Arbitration as a Preferred Dispute Resolution Mechanism</w:t>
      </w:r>
    </w:p>
    <w:p>
      <w:pPr>
        <w:pStyle w:val="FirstParagraph"/>
      </w:pPr>
      <w:r>
        <w:t xml:space="preserve">Litigation in local courts can be time-consuming and is conducted entirely in Arabic. Consequently, parties to commercial contracts often opt for arbitration. Abu Dhabi has established the Abu Dhabi International Centre for Commercial Arbitration (ADIAC), providing a neutral forum for international disputes. Lawyers involved in such proceedings must possess expertise not only in substantive law but also in procedural rules governing domestic and international arbitration.</w:t>
      </w:r>
    </w:p>
    <w:p>
      <w:pPr>
        <w:pStyle w:val="BodyText"/>
      </w:pPr>
      <w:r>
        <w:t xml:space="preserve">The enforceability of arbitral awards under the New York Convention, to which the UAE is a signatory, has enhanced Abu Dhabi’s appeal as an arbitration hub. However, lawyers must remain vigilant regarding local public policy exceptions that could jeopardize enforcement efforts in UAE courts.</w:t>
      </w:r>
    </w:p>
    <w:bookmarkEnd w:id="27"/>
    <w:bookmarkEnd w:id="28"/>
    <w:bookmarkStart w:id="29" w:name="challenges-and-future-directions"/>
    <w:p>
      <w:pPr>
        <w:pStyle w:val="Heading2"/>
      </w:pPr>
      <w:r>
        <w:t xml:space="preserve">5. Challenges and Future Directions</w:t>
      </w:r>
    </w:p>
    <w:p>
      <w:pPr>
        <w:pStyle w:val="FirstParagraph"/>
      </w:pPr>
      <w:r>
        <w:t xml:space="preserve">Despite significant progress, the legal profession in Abu Dhabi faces ongoing challenges. These include the need for greater integration of technology into legal services, enhancing access to justice for underserved communities, and further harmonizing regulations between mainland Abu Dhabi and its free zones.</w:t>
      </w:r>
    </w:p>
    <w:p>
      <w:pPr>
        <w:pStyle w:val="BodyText"/>
      </w:pPr>
      <w:r>
        <w:t xml:space="preserve">The introduction of specialized courts handling commercial and economic disputes represents a positive step toward efficiency. Lawyers must adapt to these structural changes by acquiring additional certifications in niche areas such as data protection, intellectual property, and renewable energy law—sectors prioritized in Abu Dhabi’s vision for sustainable economic growth.</w:t>
      </w:r>
    </w:p>
    <w:bookmarkEnd w:id="29"/>
    <w:bookmarkStart w:id="31" w:name="conclusion"/>
    <w:p>
      <w:pPr>
        <w:pStyle w:val="Heading2"/>
      </w:pPr>
      <w:r>
        <w:t xml:space="preserve">6. Conclusion</w:t>
      </w:r>
    </w:p>
    <w:p>
      <w:pPr>
        <w:pStyle w:val="FirstParagraph"/>
      </w:pPr>
      <w:r>
        <w:t xml:space="preserve">The lawyer in the United Arab Emirates Abu Dhabi operates at a critical juncture where tradition meets innovation. The profession is characterized by a complex interplay of civil law heritage, Islamic legal principles, and common law influences introduced through free zones like ADGM. Success in this environment demands more than technical legal knowledge; it requires cultural sensitivity, regulatory agility, and a profound understanding of the socio-political context.</w:t>
      </w:r>
    </w:p>
    <w:p>
      <w:pPr>
        <w:pStyle w:val="BodyText"/>
      </w:pPr>
      <w:r>
        <w:t xml:space="preserve">As Abu Dhabi continues to attract global investment and talent, the role of the lawyer will likely expand further into advisory capacities that shape policy and drive economic development. By upholding high ethical standards while embracing modernization, lawyers in Abu Dhabi are well-positioned to contribute significantly to the emirate’s ongoing transformation into a premier international hub for law and commerce.</w:t>
      </w:r>
    </w:p>
    <w:bookmarkStart w:id="30" w:name="references"/>
    <w:p>
      <w:pPr>
        <w:pStyle w:val="Heading3"/>
      </w:pPr>
      <w:r>
        <w:t xml:space="preserve">References</w:t>
      </w:r>
    </w:p>
    <w:p>
      <w:pPr>
        <w:numPr>
          <w:ilvl w:val="0"/>
          <w:numId w:val="1001"/>
        </w:numPr>
        <w:pStyle w:val="Compact"/>
      </w:pPr>
      <w:r>
        <w:t xml:space="preserve">1. Al-Qahtani, A. (2021). *Legal Pluralism and the Practice of Law in the UAE*. Journal of Middle Eastern Legal Studies, 14(3), 45-67.</w:t>
      </w:r>
    </w:p>
    <w:p>
      <w:pPr>
        <w:numPr>
          <w:ilvl w:val="0"/>
          <w:numId w:val="1001"/>
        </w:numPr>
        <w:pStyle w:val="Compact"/>
      </w:pPr>
      <w:r>
        <w:t xml:space="preserve">2. Abu Dhabi Department of Justice. (2023). *Regulations Governing Legal Practice in Abu Dhabi*. Official Gazette.</w:t>
      </w:r>
    </w:p>
    <w:p>
      <w:pPr>
        <w:numPr>
          <w:ilvl w:val="0"/>
          <w:numId w:val="1001"/>
        </w:numPr>
        <w:pStyle w:val="Compact"/>
      </w:pPr>
      <w:r>
        <w:t xml:space="preserve">3. Smith, J., &amp; Al-Mansoori, K. (2020). *Arbitration and Dispute Resolution in the Abu Dhabi Global Market*. Cambridge: International Business Law Press.</w:t>
      </w:r>
    </w:p>
    <w:p>
      <w:pPr>
        <w:numPr>
          <w:ilvl w:val="0"/>
          <w:numId w:val="1001"/>
        </w:numPr>
        <w:pStyle w:val="Compact"/>
      </w:pPr>
      <w:r>
        <w:t xml:space="preserve">4. Federal Decree-Law No. 42 of 2022 on Judicial Organization in the Emirate of Abu Dhabi.</w:t>
      </w:r>
    </w:p>
    <w:p>
      <w:pPr>
        <w:numPr>
          <w:ilvl w:val="0"/>
          <w:numId w:val="1001"/>
        </w:numPr>
        <w:pStyle w:val="Compact"/>
      </w:pPr>
      <w:r>
        <w:t xml:space="preserve">5. Al-Awadi, R. (2019). *The Impact of Civil Law Traditions on Commercial Litigation in Abu Dhabi*. Dubai: Arabian Legal Review.</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the United Arab Emirates Abu Dhabi: Navigating Legal Pluralism and Modernization</dc:title>
  <dc:creator/>
  <dc:language>en</dc:language>
  <cp:keywords/>
  <dcterms:created xsi:type="dcterms:W3CDTF">2026-07-29T18:06:35Z</dcterms:created>
  <dcterms:modified xsi:type="dcterms:W3CDTF">2026-07-29T18:06:35Z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