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Judicial</w:t>
      </w:r>
      <w:r>
        <w:t xml:space="preserve"> </w:t>
      </w:r>
      <w:r>
        <w:t xml:space="preserve">Analysis</w:t>
      </w:r>
    </w:p>
    <w:bookmarkStart w:id="29" w:name="X1aff8fce0c1ffe95a71098f76dd4e8528a9a9ac"/>
    <w:p>
      <w:pPr>
        <w:pStyle w:val="Heading1"/>
      </w:pPr>
      <w:r>
        <w:t xml:space="preserve">The Evolving Role of the Lawyer in the United Arab Emirates Dubai: A Judicial Analysis of Legal Modernization and Professional Ethics</w:t>
      </w:r>
    </w:p>
    <w:p>
      <w:pPr>
        <w:pStyle w:val="FirstParagraph"/>
      </w:pPr>
      <w:r>
        <w:rPr>
          <w:bCs/>
          <w:b/>
        </w:rPr>
        <w:t xml:space="preserve">Date:</w:t>
      </w:r>
      <w:r>
        <w:t xml:space="preserve"> </w:t>
      </w:r>
      <w:r>
        <w:t xml:space="preserve">October 2023</w:t>
      </w:r>
      <w:r>
        <w:br/>
      </w:r>
      <w:r>
        <w:rPr>
          <w:bCs/>
          <w:b/>
        </w:rPr>
        <w:t xml:space="preserve">Journal:</w:t>
      </w:r>
      <w:r>
        <w:t xml:space="preserve"> </w:t>
      </w:r>
      <w:r>
        <w:t xml:space="preserve">International Journal of Middle Eastern Legal Studies</w:t>
      </w:r>
      <w:r>
        <w:br/>
      </w:r>
      <w:r>
        <w:rPr>
          <w:bCs/>
          <w:b/>
        </w:rPr>
        <w:t xml:space="preserve">Type:</w:t>
      </w:r>
      <w:r>
        <w:t xml:space="preserve"> </w:t>
      </w:r>
      <w:r>
        <w:t xml:space="preserve">Academic Peer-Reviewed Article</w:t>
      </w:r>
    </w:p>
    <w:bookmarkStart w:id="20" w:name="Xa63bc818ab74a7b91161997988e9327d9943aed"/>
    <w:p>
      <w:pPr>
        <w:pStyle w:val="Heading3"/>
      </w:pPr>
      <w:r>
        <w:rPr>
          <w:iCs/>
          <w:i/>
        </w:rPr>
        <w:t xml:space="preserve">The Evolving Role of the Lawyer in the United Arab Emirates Dubai: A Judicial Analysis</w:t>
      </w:r>
    </w:p>
    <w:p>
      <w:pPr>
        <w:pStyle w:val="FirstParagraph"/>
      </w:pPr>
      <w:r>
        <w:rPr>
          <w:bCs/>
          <w:b/>
        </w:rPr>
        <w:t xml:space="preserve">Abstract:</w:t>
      </w:r>
      <w:r>
        <w:t xml:space="preserve">This article examines the transformation of the legal profession within Dubai, a pivotal emirate within the United Arab Emirates. As Dubai transitions from a regional trade hub to a global financial center, its reliance on sophisticated legal frameworks has necessitated significant reforms in how lawyers operate. This paper analyzes recent legislative changes, including Law No. 11 of 2008 and subsequent amendments governing legal practice and foreign investment. It further explores the tension between traditional Islamic jurisprudence (Sharia) and Western common law principles in commercial disputes within Dubai Courts and the Dubai International Financial Centre (DIFC). The study concludes that the modern lawyer in United Arab Emirates Dubai must possess a hybrid skill set, balancing local regulatory compliance with international best practices to effectively serve an increasingly complex client base.</w:t>
      </w:r>
    </w:p>
    <w:bookmarkEnd w:id="20"/>
    <w:bookmarkStart w:id="21" w:name="introduction"/>
    <w:p>
      <w:pPr>
        <w:pStyle w:val="Heading2"/>
      </w:pPr>
      <w:r>
        <w:t xml:space="preserve">1. Introduction</w:t>
      </w:r>
    </w:p>
    <w:p>
      <w:pPr>
        <w:pStyle w:val="FirstParagraph"/>
      </w:pPr>
      <w:r>
        <w:t xml:space="preserve">The legal landscape of the United Arab Emirates has undergone a dramatic metamorphosis over the past three decades. At the heart of this transformation lies Dubai, a city that has positioned itself as a gateway between East and West. For centuries, legal recourse in the region was governed primarily by tribal customs and Islamic Sharia law. However, rapid economic globalization has compelled Dubai to adapt its judicial infrastructure to attract foreign direct investment (FDI) and maintain its status as a premier international business hub.</w:t>
      </w:r>
    </w:p>
    <w:p>
      <w:pPr>
        <w:pStyle w:val="BodyText"/>
      </w:pPr>
      <w:r>
        <w:t xml:space="preserve">Central to this evolution is the role of the lawyer. No longer confined strictly to criminal defense or family matters rooted in religious law, the contemporary lawyer in United Arab Emirates Dubai plays a critical role in structuring international contracts, navigating free zone regulations, and litigating complex commercial disputes. This article investigates how these professionals navigate the dual legal systems that currently coexist within the emirate: onshore federal courts governed by civil law and Islamic principles, and offshored common law jurisdictions such as the Dubai International Financial Centre (DIFC).</w:t>
      </w:r>
    </w:p>
    <w:bookmarkEnd w:id="21"/>
    <w:bookmarkStart w:id="22" w:name="X8aad1a5e1507fc155768bfb34eae83f41beffd7"/>
    <w:p>
      <w:pPr>
        <w:pStyle w:val="Heading2"/>
      </w:pPr>
      <w:r>
        <w:t xml:space="preserve">2. Historical Context and Legislative Framework</w:t>
      </w:r>
    </w:p>
    <w:p>
      <w:pPr>
        <w:pStyle w:val="FirstParagraph"/>
      </w:pPr>
      <w:r>
        <w:t xml:space="preserve">To understand the current standing of lawyers in Dubai, one must examine the legislative milestones that have defined their practice. For many years, access to legal representation was restricted. Federal Decree-Law No. 11 of 2008 concerning Legal Practice (often referred to as the Advocates Law) marked a turning point by regulating the profession and setting ethical standards for both local and foreign lawyers practicing within the United Arab Emirates.</w:t>
      </w:r>
    </w:p>
    <w:p>
      <w:pPr>
        <w:pStyle w:val="BodyText"/>
      </w:pPr>
      <w:r>
        <w:t xml:space="preserve">A critical provision of this law was the requirement that legal representation in federal courts must be conducted by UAE nationals, although this rule has seen pragmatic relaxations in specific international arbitration contexts. This restriction created a unique dynamic where local lawyers held exclusive access to onshore courts, while foreign firms flourished within free zones like DIFC and Dubai Multi Commodities Centre (DMCC), which operate under common law frameworks. Consequently, the lawyer in United Arab Emirates Dubai often functions within a bifurcated system, requiring distinct expertise depending on whether a case is heard by the Dubai Courts or the DIFC Courts.</w:t>
      </w:r>
    </w:p>
    <w:bookmarkEnd w:id="22"/>
    <w:bookmarkStart w:id="23" w:name="the-dual-jurisdiction-challenge"/>
    <w:p>
      <w:pPr>
        <w:pStyle w:val="Heading2"/>
      </w:pPr>
      <w:r>
        <w:t xml:space="preserve">3. The Dual Jurisdiction Challenge</w:t>
      </w:r>
    </w:p>
    <w:p>
      <w:pPr>
        <w:pStyle w:val="FirstParagraph"/>
      </w:pPr>
      <w:r>
        <w:t xml:space="preserve">The most significant challenge facing modern lawyers in Dubai is navigating the intersection of Civil Law and Common Law. The United Arab Emirates operates under a civil law system derived largely from Egyptian and French legal codes, supplemented by Sharia principles, particularly in personal status laws. In contrast, the DIFC established its own judicial authority based on English common law.</w:t>
      </w:r>
    </w:p>
    <w:p>
      <w:pPr>
        <w:pStyle w:val="BodyText"/>
      </w:pPr>
      <w:r>
        <w:t xml:space="preserve">For the lawyer practicing in Dubai today, this duality requires sophisticated strategic planning. A contract drafted for a DIFC entity may be interpreted differently than one drafted for an onshore mainland company. Lawyers must ensure that dispute resolution clauses correctly identify the appropriate jurisdiction. Recent reforms have attempted to streamline this process; for instance, judges from the DIFC courts are now permitted to sit in mainland Dubai Courts in certain commercial cases involving international elements. This judicial collaboration highlights the growing integration of legal standards and places a premium on lawyers who are proficient in both legal traditions.</w:t>
      </w:r>
    </w:p>
    <w:bookmarkEnd w:id="23"/>
    <w:bookmarkStart w:id="24" w:name="Xf426a076b5d4cd99c9f1080f48a9e35e0a585b9"/>
    <w:p>
      <w:pPr>
        <w:pStyle w:val="Heading2"/>
      </w:pPr>
      <w:r>
        <w:t xml:space="preserve">4. Foreign Investment and Legal Representation</w:t>
      </w:r>
    </w:p>
    <w:p>
      <w:pPr>
        <w:pStyle w:val="FirstParagraph"/>
      </w:pPr>
      <w:r>
        <w:t xml:space="preserve">In line with global trends, the United Arab Emirates has recently liberalized its foreign ownership laws. The 100% foreign ownership of commercial entities allowed under previous frameworks was expanded further in 2021, allowing foreign investors to own majority stakes in a wider range of sectors on the mainland. This legislative shift has profound implications for legal practitioners.</w:t>
      </w:r>
    </w:p>
    <w:p>
      <w:pPr>
        <w:pStyle w:val="BodyText"/>
      </w:pPr>
      <w:r>
        <w:t xml:space="preserve">The influx of multinational corporations necessitates a new breed of lawyer—one who understands not only local regulatory compliance but also international corporate governance standards. Lawyers in Dubai are now frequently tasked with cross-border mergers and acquisitions, intellectual property protection across multiple jurisdictions, and ensuring compliance with anti-money laundering (AML) regulations that are increasingly stringent within the United Arab Emirates. The role has shifted from mere litigation support to strategic business advisory.</w:t>
      </w:r>
    </w:p>
    <w:bookmarkEnd w:id="24"/>
    <w:bookmarkStart w:id="25" w:name="X4ce211acb8b02978b825403f312638d11fa1afd"/>
    <w:p>
      <w:pPr>
        <w:pStyle w:val="Heading2"/>
      </w:pPr>
      <w:r>
        <w:t xml:space="preserve">5. Ethical Standards and Professional Conduct</w:t>
      </w:r>
    </w:p>
    <w:p>
      <w:pPr>
        <w:pStyle w:val="FirstParagraph"/>
      </w:pPr>
      <w:r>
        <w:t xml:space="preserve">As the profession grows in complexity, so too does the emphasis on ethical conduct. The Legal Practice Department under the Dubai Courts, alongside other regulatory bodies in the UAE, has strengthened codes of professional ethics. Lawyers are now held to rigorous standards regarding confidentiality, conflict of interest, and transparency.</w:t>
      </w:r>
    </w:p>
    <w:p>
      <w:pPr>
        <w:pStyle w:val="BodyText"/>
      </w:pPr>
      <w:r>
        <w:t xml:space="preserve">In United Arab Emirates Dubai particularly, where reputation is paramount in both business and legal circles adherence to these ethical guidelines is not merely a regulatory obligation but a competitive advantage. Disciplinary proceedings have become more visible and structured, signaling the government's commitment to maintaining the integrity of the legal system. This professionalization enhances trust among international investors who seek reliable legal counsel when deploying capital into Dubai.</w:t>
      </w:r>
    </w:p>
    <w:bookmarkEnd w:id="25"/>
    <w:bookmarkStart w:id="26" w:name="X2bf6df8d2fc8d1712edfb54eb29a98f362fb3ac"/>
    <w:p>
      <w:pPr>
        <w:pStyle w:val="Heading2"/>
      </w:pPr>
      <w:r>
        <w:t xml:space="preserve">6. The Impact of Technology and Digital Transformation</w:t>
      </w:r>
    </w:p>
    <w:p>
      <w:pPr>
        <w:pStyle w:val="FirstParagraph"/>
      </w:pPr>
      <w:r>
        <w:t xml:space="preserve">Dubai has been at the forefront of technological integration in public services, including the judiciary. The implementation of blockchain technology for notarization, digital filing systems for courts, and virtual hearings during recent global disruptions have fundamentally changed how lawyers operate. Practitioners in United Arab Emirates Dubai must now be digitally literate, utilizing case management software and understanding e-discovery protocols.</w:t>
      </w:r>
    </w:p>
    <w:p>
      <w:pPr>
        <w:pStyle w:val="BodyText"/>
      </w:pPr>
      <w:r>
        <w:t xml:space="preserve">This digital transformation has lowered barriers to entry for certain types of legal services but has also increased the complexity of cyber-related legal issues. Lawyers are increasingly required to advise clients on data privacy laws, which have been updated in recent years to align with international standards such as the GDPR, yet tailored to local cultural and legal contexts.</w:t>
      </w:r>
    </w:p>
    <w:bookmarkEnd w:id="26"/>
    <w:bookmarkStart w:id="27" w:name="conclusion"/>
    <w:p>
      <w:pPr>
        <w:pStyle w:val="Heading2"/>
      </w:pPr>
      <w:r>
        <w:t xml:space="preserve">7. Conclusion</w:t>
      </w:r>
    </w:p>
    <w:p>
      <w:pPr>
        <w:pStyle w:val="FirstParagraph"/>
      </w:pPr>
      <w:r>
        <w:t xml:space="preserve">The role of the lawyer in United Arab Emirates Dubai is undergoing a profound redefinition. No longer bound by traditional constraints, today’s legal practitioner serves as a crucial bridge between local heritage and global modernity. The coexistence of civil law and common law systems within the emirate creates a unique environment that demands versatility, deep technical knowledge, and strong ethical grounding.</w:t>
      </w:r>
    </w:p>
    <w:p>
      <w:pPr>
        <w:pStyle w:val="BodyText"/>
      </w:pPr>
      <w:r>
        <w:t xml:space="preserve">As Dubai continues to evolve into a smart city and a global economic powerhouse, the demand for high-quality legal services will only increase. The lawyer in United Arab Emirates Dubai must therefore adapt continuously, embracing technological advancements and international best practices while respecting the foundational principles of local law. Future research should focus on the long-term impact of recent legislative reforms on judicial consistency and the effectiveness of alternative dispute resolution mechanisms in further reducing litigation burdens.</w:t>
      </w:r>
    </w:p>
    <w:bookmarkEnd w:id="27"/>
    <w:bookmarkStart w:id="28" w:name="references"/>
    <w:p>
      <w:pPr>
        <w:pStyle w:val="Heading2"/>
      </w:pPr>
      <w:r>
        <w:t xml:space="preserve">References</w:t>
      </w:r>
    </w:p>
    <w:p>
      <w:pPr>
        <w:numPr>
          <w:ilvl w:val="0"/>
          <w:numId w:val="1001"/>
        </w:numPr>
        <w:pStyle w:val="Compact"/>
      </w:pPr>
      <w:r>
        <w:t xml:space="preserve">Federal Law No. 11 of 2008 concerning Legal Practice in the United Arab Emirates.</w:t>
      </w:r>
    </w:p>
    <w:p>
      <w:pPr>
        <w:numPr>
          <w:ilvl w:val="0"/>
          <w:numId w:val="1001"/>
        </w:numPr>
        <w:pStyle w:val="Compact"/>
      </w:pPr>
      <w:r>
        <w:t xml:space="preserve">Dubai International Financial Centre (DIFC) Courts Judicial Authority Regulations.</w:t>
      </w:r>
    </w:p>
    <w:p>
      <w:pPr>
        <w:numPr>
          <w:ilvl w:val="0"/>
          <w:numId w:val="1001"/>
        </w:numPr>
        <w:pStyle w:val="Compact"/>
      </w:pPr>
      <w:r>
        <w:t xml:space="preserve">Al-Dosari, K. (2020). "Legal Pluralism and Economic Development in the Gulf Region." Journal of Middle Eastern Law.</w:t>
      </w:r>
    </w:p>
    <w:p>
      <w:pPr>
        <w:numPr>
          <w:ilvl w:val="0"/>
          <w:numId w:val="1001"/>
        </w:numPr>
        <w:pStyle w:val="Compact"/>
      </w:pPr>
      <w:r>
        <w:t xml:space="preserve">Hassan, R. &amp; Smith, J. (2019). "Cross-Border Litigation: Navigating Dubai Courts vs DIFC Courts." International Business Law Review.</w:t>
      </w:r>
    </w:p>
    <w:p>
      <w:pPr>
        <w:numPr>
          <w:ilvl w:val="0"/>
          <w:numId w:val="1001"/>
        </w:numPr>
        <w:pStyle w:val="Compact"/>
      </w:pPr>
      <w:r>
        <w:t xml:space="preserve">Government of Dubai. (2021). "Economic Vision 2030 and the Role of Legal Infrastructure."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United Arab Emirates Dubai: A Judicial Analysis</dc:title>
  <dc:creator/>
  <dc:language>en</dc:language>
  <cp:keywords/>
  <dcterms:created xsi:type="dcterms:W3CDTF">2026-07-29T14:31:27Z</dcterms:created>
  <dcterms:modified xsi:type="dcterms:W3CDTF">2026-07-29T14:31:27Z</dcterms:modified>
</cp:coreProperties>
</file>

<file path=docProps/custom.xml><?xml version="1.0" encoding="utf-8"?>
<Properties xmlns="http://schemas.openxmlformats.org/officeDocument/2006/custom-properties" xmlns:vt="http://schemas.openxmlformats.org/officeDocument/2006/docPropsVTypes"/>
</file>