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Multicultural</w:t>
      </w:r>
      <w:r>
        <w:t xml:space="preserve"> </w:t>
      </w:r>
      <w:r>
        <w:t xml:space="preserve">Complexity</w:t>
      </w:r>
    </w:p>
    <w:bookmarkStart w:id="29" w:name="X65db17a0a50de9c304c6fc4f6d5e9495c9e9d0d"/>
    <w:p>
      <w:pPr>
        <w:pStyle w:val="Heading1"/>
      </w:pPr>
      <w:r>
        <w:t xml:space="preserve">The Strategic Imperative of the Marketing Manager in Belgium Brussels: Navigating Multicultural Complexity</w:t>
      </w:r>
    </w:p>
    <w:p>
      <w:pPr>
        <w:pStyle w:val="FirstParagraph"/>
      </w:pPr>
      <w:r>
        <w:rPr>
          <w:bCs/>
          <w:b/>
        </w:rPr>
        <w:t xml:space="preserve">J. A. Verhoeven</w:t>
      </w:r>
      <w:r>
        <w:rPr>
          <w:vertAlign w:val="superscript"/>
          <w:bCs/>
          <w:b/>
        </w:rPr>
        <w:t xml:space="preserve">* 1</w:t>
      </w:r>
      <w:r>
        <w:t xml:space="preserve">,</w:t>
      </w:r>
      <w:r>
        <w:t xml:space="preserve"> </w:t>
      </w:r>
      <w:r>
        <w:rPr>
          <w:bCs/>
          <w:b/>
        </w:rPr>
        <w:t xml:space="preserve">S. Dubois</w:t>
      </w:r>
      <w:r>
        <w:rPr>
          <w:vertAlign w:val="superscript"/>
          <w:bCs/>
          <w:b/>
        </w:rPr>
        <w:t xml:space="preserve">* 2</w:t>
      </w:r>
    </w:p>
    <w:p>
      <w:pPr>
        <w:pStyle w:val="BodyText"/>
      </w:pPr>
      <w:r>
        <w:rPr>
          <w:vertAlign w:val="superscript"/>
        </w:rPr>
        <w:t xml:space="preserve">1</w:t>
      </w:r>
      <w:r>
        <w:t xml:space="preserve"> </w:t>
      </w:r>
      <w:r>
        <w:t xml:space="preserve">Department of Communication Sciences, Vrije Universiteit Brussel</w:t>
      </w:r>
      <w:r>
        <w:br/>
      </w:r>
      <w:r>
        <w:rPr>
          <w:vertAlign w:val="superscript"/>
        </w:rPr>
        <w:t xml:space="preserve">2</w:t>
      </w:r>
      <w:r>
        <w:t xml:space="preserve">Institute for European Business Studies, Université Catholique de Louvain</w:t>
      </w:r>
      <w:r>
        <w:br/>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Marketing Manager</w:t>
      </w:r>
      <w:r>
        <w:t xml:space="preserve"> </w:t>
      </w:r>
      <w:r>
        <w:t xml:space="preserve">within the unique geopolitical and cultural ecosystem of</w:t>
      </w:r>
      <w:r>
        <w:t xml:space="preserve"> </w:t>
      </w:r>
      <w:r>
        <w:rPr>
          <w:bCs/>
          <w:b/>
        </w:rPr>
        <w:t xml:space="preserve">Belgium Brussels</w:t>
      </w:r>
      <w:r>
        <w:t xml:space="preserve">. As the de facto capital of Europe, Brussels presents a distinct set of challenges and opportunities that differentiate it from other major metropolitan marketing hubs. The study argues that traditional western-centric marketing paradigms are insufficient for this region. Instead, successful leadership requires a high degree of cultural intelligence (CQ), linguistic agility, and strategic adaptation to the "Brussels bubble." Through a qualitative analysis of case studies involving EU institutions and multinational corporations headquartered in Brussels, this paper outlines the core competencies required for modern</w:t>
      </w:r>
      <w:r>
        <w:t xml:space="preserve"> </w:t>
      </w:r>
      <w:r>
        <w:rPr>
          <w:bCs/>
          <w:b/>
        </w:rPr>
        <w:t xml:space="preserve">Marketing Manager</w:t>
      </w:r>
      <w:r>
        <w:t xml:space="preserve"> </w:t>
      </w:r>
      <w:r>
        <w:t xml:space="preserve">roles. It further explores how regional specificity in</w:t>
      </w:r>
      <w:r>
        <w:t xml:space="preserve"> </w:t>
      </w:r>
      <w:r>
        <w:rPr>
          <w:bCs/>
          <w:b/>
        </w:rPr>
        <w:t xml:space="preserve">Belgium Brussels</w:t>
      </w:r>
      <w:r>
        <w:t xml:space="preserve"> </w:t>
      </w:r>
      <w:r>
        <w:t xml:space="preserve">influences consumer behavior among expatriates, diplomats, and local residents. The findings suggest that a hybrid approach combining global brand consistency with hyper-local cultural relevance is critical for sustainable competitive advantage in this market.</w:t>
      </w:r>
    </w:p>
    <w:bookmarkEnd w:id="20"/>
    <w:bookmarkStart w:id="21" w:name="keywords"/>
    <w:p>
      <w:pPr>
        <w:pStyle w:val="Heading2"/>
      </w:pPr>
      <w:r>
        <w:t xml:space="preserve">Keywords</w:t>
      </w:r>
    </w:p>
    <w:p>
      <w:pPr>
        <w:pStyle w:val="FirstParagraph"/>
      </w:pPr>
      <w:r>
        <w:rPr>
          <w:bCs/>
          <w:b/>
        </w:rPr>
        <w:t xml:space="preserve">Marketing Manager</w:t>
      </w:r>
      <w:r>
        <w:t xml:space="preserve">, Belgium Brussels, European Union, Cross-Cultural Marketing, Strategic Communication, Multilingualism, Institutional Lobbying.</w:t>
      </w:r>
    </w:p>
    <w:bookmarkEnd w:id="21"/>
    <w:bookmarkStart w:id="22" w:name="i.-introduction"/>
    <w:p>
      <w:pPr>
        <w:pStyle w:val="Heading1"/>
      </w:pPr>
      <w:r>
        <w:t xml:space="preserve">I. Introduction</w:t>
      </w:r>
    </w:p>
    <w:p>
      <w:pPr>
        <w:pStyle w:val="FirstParagraph"/>
      </w:pPr>
      <w:r>
        <w:t xml:space="preserve">The contemporary business landscape is increasingly defined by globalization; however, the necessity for local adaptation remains paramount. Nowhere is this paradox more evident than in</w:t>
      </w:r>
      <w:r>
        <w:t xml:space="preserve"> </w:t>
      </w:r>
      <w:r>
        <w:rPr>
          <w:bCs/>
          <w:b/>
        </w:rPr>
        <w:t xml:space="preserve">Belgium Brussels</w:t>
      </w:r>
      <w:r>
        <w:t xml:space="preserve">, a city that serves as the administrative capital of the European Union (EU) and home to numerous multinational corporations. For any organization operating within this jurisdiction, the appointment of an effective</w:t>
      </w:r>
      <w:r>
        <w:t xml:space="preserve"> </w:t>
      </w:r>
      <w:r>
        <w:rPr>
          <w:bCs/>
          <w:b/>
        </w:rPr>
        <w:t xml:space="preserve">Marketing Manager</w:t>
      </w:r>
      <w:r>
        <w:t xml:space="preserve"> </w:t>
      </w:r>
      <w:r>
        <w:t xml:space="preserve">is not merely a human resources decision but a strategic imperative that directly impacts market penetration and brand equity.</w:t>
      </w:r>
    </w:p>
    <w:p>
      <w:pPr>
        <w:pStyle w:val="BodyText"/>
      </w:pPr>
      <w:r>
        <w:rPr>
          <w:bCs/>
          <w:b/>
        </w:rPr>
        <w:t xml:space="preserve">Belgium Brussels</w:t>
      </w:r>
      <w:r>
        <w:t xml:space="preserve"> </w:t>
      </w:r>
      <w:r>
        <w:t xml:space="preserve">is characterized by its unique demographic composition. It is one of the most linguistically diverse cities in Europe, where French, Dutch (Flemish), English, and various other languages coexist. This linguistic plurality creates a complex communication environment that standard marketing models often fail to address. The</w:t>
      </w:r>
      <w:r>
        <w:t xml:space="preserve"> </w:t>
      </w:r>
      <w:r>
        <w:rPr>
          <w:bCs/>
          <w:b/>
        </w:rPr>
        <w:t xml:space="preserve">Marketing Manager</w:t>
      </w:r>
      <w:r>
        <w:t xml:space="preserve"> </w:t>
      </w:r>
      <w:r>
        <w:t xml:space="preserve">operating in this region must navigate not only commercial competition but also the intricate web of institutional relationships involving EU policymakers, NGOs, and diplomatic missions.</w:t>
      </w:r>
    </w:p>
    <w:p>
      <w:pPr>
        <w:pStyle w:val="BodyText"/>
      </w:pPr>
      <w:r>
        <w:t xml:space="preserve">This article aims to dissect the specific responsibilities and competencies of the</w:t>
      </w:r>
      <w:r>
        <w:t xml:space="preserve"> </w:t>
      </w:r>
      <w:r>
        <w:rPr>
          <w:bCs/>
          <w:b/>
        </w:rPr>
        <w:t xml:space="preserve">Marketing Manager</w:t>
      </w:r>
      <w:r>
        <w:t xml:space="preserve"> </w:t>
      </w:r>
      <w:r>
        <w:t xml:space="preserve">in this context. By analyzing the interplay between global marketing trends and local realities in</w:t>
      </w:r>
      <w:r>
        <w:t xml:space="preserve"> </w:t>
      </w:r>
      <w:r>
        <w:rPr>
          <w:bCs/>
          <w:b/>
        </w:rPr>
        <w:t xml:space="preserve">Belgium Brussels</w:t>
      </w:r>
      <w:r>
        <w:t xml:space="preserve">, we seek to provide a framework for understanding how leadership styles, cultural intelligence, and strategic communication intersect to drive success.</w:t>
      </w:r>
    </w:p>
    <w:bookmarkEnd w:id="22"/>
    <w:bookmarkStart w:id="25" w:name="X7608af460ea5baf7372734d04d7d21efbd9769d"/>
    <w:p>
      <w:pPr>
        <w:pStyle w:val="Heading1"/>
      </w:pPr>
      <w:r>
        <w:t xml:space="preserve">II. The Unique Ecosystem of Belgium Brussels</w:t>
      </w:r>
    </w:p>
    <w:bookmarkStart w:id="23" w:name="X63438bc318c0e03fd111cfd23b36dec99b7e0a5"/>
    <w:p>
      <w:pPr>
        <w:pStyle w:val="Heading2"/>
      </w:pPr>
      <w:r>
        <w:t xml:space="preserve">A. The "Brussels Bubble" and Institutional Influence</w:t>
      </w:r>
    </w:p>
    <w:p>
      <w:pPr>
        <w:pStyle w:val="FirstParagraph"/>
      </w:pPr>
      <w:r>
        <w:t xml:space="preserve">The concept of the "Brussels Bubble" refers to the insulated environment in which EU affairs are conducted. For a</w:t>
      </w:r>
      <w:r>
        <w:t xml:space="preserve"> </w:t>
      </w:r>
      <w:r>
        <w:rPr>
          <w:bCs/>
          <w:b/>
        </w:rPr>
        <w:t xml:space="preserve">Marketing Manager</w:t>
      </w:r>
      <w:r>
        <w:t xml:space="preserve">, this bubble represents both an opportunity and a constraint. On one hand, proximity to decision-makers allows for unique networking opportunities and B2B (Business-to-Business) partnerships with institutional clients. On the other hand, it necessitates a high level of sophistication in understanding regulatory frameworks, such as GDPR (General Data Protection Regulation), which heavily influence marketing practices.</w:t>
      </w:r>
    </w:p>
    <w:p>
      <w:pPr>
        <w:pStyle w:val="BodyText"/>
      </w:pPr>
      <w:r>
        <w:t xml:space="preserve">Unlike New York or London, where finance dominates the corporate agenda, the economy of</w:t>
      </w:r>
      <w:r>
        <w:t xml:space="preserve"> </w:t>
      </w:r>
      <w:r>
        <w:rPr>
          <w:bCs/>
          <w:b/>
        </w:rPr>
        <w:t xml:space="preserve">Belgium Brussels</w:t>
      </w:r>
      <w:r>
        <w:t xml:space="preserve"> </w:t>
      </w:r>
      <w:r>
        <w:t xml:space="preserve">is heavily skewed towards services, lobbying firms, and international organizations. Consequently, the</w:t>
      </w:r>
      <w:r>
        <w:t xml:space="preserve"> </w:t>
      </w:r>
      <w:r>
        <w:rPr>
          <w:bCs/>
          <w:b/>
        </w:rPr>
        <w:t xml:space="preserve">Marketing Manager</w:t>
      </w:r>
      <w:r>
        <w:t xml:space="preserve"> </w:t>
      </w:r>
      <w:r>
        <w:t xml:space="preserve">must pivot from traditional consumer-focused strategies to stakeholder-oriented communication. This involves crafting narratives that appeal not only to end-consumers but also to policymakers and institutional buyers.</w:t>
      </w:r>
    </w:p>
    <w:bookmarkEnd w:id="23"/>
    <w:bookmarkStart w:id="24" w:name="X87837425bdbab19079fee0ed3d0b7d608d96e12"/>
    <w:p>
      <w:pPr>
        <w:pStyle w:val="Heading2"/>
      </w:pPr>
      <w:r>
        <w:t xml:space="preserve">B. Linguistic Complexity as a Marketing Variable</w:t>
      </w:r>
    </w:p>
    <w:p>
      <w:pPr>
        <w:pStyle w:val="FirstParagraph"/>
      </w:pPr>
      <w:r>
        <w:t xml:space="preserve">Linguistics play a crucial role in the marketing strategy within Belgium. The country is officially bilingual (French and Dutch), and Brussels is functionally trilingual, with English serving as the lingua franca of the international community. A</w:t>
      </w:r>
      <w:r>
        <w:t xml:space="preserve"> </w:t>
      </w:r>
      <w:r>
        <w:rPr>
          <w:bCs/>
          <w:b/>
        </w:rPr>
        <w:t xml:space="preserve">Marketing Manager</w:t>
      </w:r>
      <w:r>
        <w:t xml:space="preserve"> </w:t>
      </w:r>
      <w:r>
        <w:t xml:space="preserve">failing to account for this linguistic diversity risks alienating significant segments of the population.</w:t>
      </w:r>
    </w:p>
    <w:p>
      <w:pPr>
        <w:pStyle w:val="BodyText"/>
      </w:pPr>
      <w:r>
        <w:t xml:space="preserve">Campaigns must be meticulously localized. Direct translation is often insufficient due to cultural nuances embedded in language. For instance, humor, idioms, and symbolic references vary significantly between Flemish and Francophone audiences in</w:t>
      </w:r>
      <w:r>
        <w:t xml:space="preserve"> </w:t>
      </w:r>
      <w:r>
        <w:rPr>
          <w:bCs/>
          <w:b/>
        </w:rPr>
        <w:t xml:space="preserve">Belgium Brussels</w:t>
      </w:r>
      <w:r>
        <w:t xml:space="preserve">. The</w:t>
      </w:r>
      <w:r>
        <w:t xml:space="preserve"> </w:t>
      </w:r>
      <w:r>
        <w:rPr>
          <w:bCs/>
          <w:b/>
        </w:rPr>
        <w:t xml:space="preserve">Marketing Manager</w:t>
      </w:r>
      <w:r>
        <w:t xml:space="preserve"> </w:t>
      </w:r>
      <w:r>
        <w:t xml:space="preserve">must therefore oversee a robust localization process that ensures brand messaging resonates authentically with both linguistic communities while maintaining a cohesive global brand identity.</w:t>
      </w:r>
    </w:p>
    <w:bookmarkEnd w:id="24"/>
    <w:bookmarkEnd w:id="25"/>
    <w:bookmarkStart w:id="27" w:name="Xdcaf854a1d56c6361fb5bf48e2e0aceea956789"/>
    <w:p>
      <w:pPr>
        <w:pStyle w:val="Heading1"/>
      </w:pPr>
      <w:r>
        <w:t xml:space="preserve">III. Core Competencies of the Modern Marketing Manager</w:t>
      </w:r>
    </w:p>
    <w:bookmarkStart w:id="26" w:name="a.-cultural-intelligence-cq"/>
    <w:p>
      <w:pPr>
        <w:pStyle w:val="Heading2"/>
      </w:pPr>
      <w:r>
        <w:t xml:space="preserve">A. Cultural Intelligence (CQ)</w:t>
      </w:r>
    </w:p>
    <w:p>
      <w:pPr>
        <w:pStyle w:val="FirstParagraph"/>
      </w:pPr>
      <w:r>
        <w:t xml:space="preserve">Cultural Intelligence (CQ) is defined as the capability to relate and work effectively across cultures. In the context of a</w:t>
      </w:r>
      <w:r>
        <w:t xml:space="preserve"> </w:t>
      </w:r>
      <w:r>
        <w:rPr>
          <w:bCs/>
          <w:b/>
        </w:rPr>
        <w:t xml:space="preserve">Marketing Manager</w:t>
      </w:r>
      <w:r>
        <w:t xml:space="preserve"> </w:t>
      </w:r>
      <w:r>
        <w:t xml:space="preserve">in</w:t>
      </w:r>
      <w:r>
        <w:t xml:space="preserve"> </w:t>
      </w:r>
      <w:r>
        <w:rPr>
          <w:bCs/>
          <w:b/>
        </w:rPr>
        <w:t xml:space="preserve">Belgium Brussels</w:t>
      </w:r>
      <w:r>
        <w:t xml:space="preserve">, CQ involves understanding the distinct cultural values of Flemish, French-speaking, and international expatriate groups. High CQ enables the manager to interpret non-verbal cues, respect hierarchical differences in institutional settings, and adapt negotiation styles accordingly.</w:t>
      </w:r>
    </w:p>
    <w:p>
      <w:pPr>
        <w:pStyle w:val="BodyText"/>
      </w:pPr>
      <w:r>
        <w:rPr>
          <w:bCs/>
          <w:b/>
        </w:rPr>
        <w:t xml:space="preserve">Competency Area</w:t>
      </w:r>
    </w:p>
    <w:bookmarkEnd w:id="26"/>
    <w:bookmarkEnd w:id="27"/>
    <w:p>
      <w:pPr>
        <w:pStyle w:val="BodyText"/>
      </w:pPr>
      <w:r>
        <w:rPr>
          <w:bCs/>
          <w:b/>
        </w:rPr>
        <w:t xml:space="preserve">Description</w:t>
      </w:r>
    </w:p>
    <w:p>
      <w:pPr>
        <w:pStyle w:val="BodyText"/>
      </w:pPr>
      <w:r>
        <w:rPr>
          <w:bCs/>
          <w:b/>
        </w:rPr>
        <w:t xml:space="preserve">Impact on Marketing Strategy in Belgium Brussels</w:t>
      </w:r>
    </w:p>
    <w:p>
      <w:pPr>
        <w:pStyle w:val="BodyText"/>
      </w:pPr>
      <w:r>
        <w:t xml:space="preserve">Linguistic Agility</w:t>
      </w:r>
    </w:p>
    <w:p>
      <w:pPr>
        <w:pStyle w:val="BodyText"/>
      </w:pPr>
      <w:r>
        <w:t xml:space="preserve">Mastery of French, Dutch, and English in professional contexts.</w:t>
      </w:r>
    </w:p>
    <w:p>
      <w:pPr>
        <w:pStyle w:val="BodyText"/>
      </w:pPr>
      <w:r>
        <w:t xml:space="preserve">Ensures accurate message delivery across all demographic segments.</w:t>
      </w:r>
    </w:p>
    <w:p>
      <w:pPr>
        <w:pStyle w:val="BodyText"/>
      </w:pPr>
      <w:r>
        <w:t xml:space="preserve">&lt;</w:t>
      </w:r>
    </w:p>
    <w:p>
      <w:pPr>
        <w:pStyle w:val="BodyText"/>
      </w:pPr>
      <w:r>
        <w:t xml:space="preserve">Institutional Knowledge</w:t>
      </w:r>
    </w:p>
    <w:p>
      <w:pPr>
        <w:pStyle w:val="BodyText"/>
      </w:pPr>
      <w:r>
        <w:t xml:space="preserve">Understanding EU regulatory and political landscapes.</w:t>
      </w:r>
    </w:p>
    <w:p>
      <w:pPr>
        <w:pStyle w:val="BodyText"/>
      </w:pPr>
      <w:r>
        <w:t xml:space="preserve">Aids in compliance and strategic positioning within the 'Brussels Bubble'.</w:t>
      </w:r>
    </w:p>
    <w:p>
      <w:pPr>
        <w:pStyle w:val="BodyText"/>
      </w:pPr>
      <w:r>
        <w:t xml:space="preserve">sdtyle='color: #000;'&gt;Cultural Sensitivity</w:t>
      </w:r>
    </w:p>
    <w:p>
      <w:pPr>
        <w:pStyle w:val="BodyText"/>
      </w:pPr>
      <w:r>
        <w:t xml:space="preserve">'border=1;&gt;</w:t>
      </w:r>
    </w:p>
    <w:p>
      <w:pPr>
        <w:pStyle w:val="BodyText"/>
      </w:pPr>
      <w:r>
        <w:t xml:space="preserve">Awareness of regional cultural norms and values.</w:t>
      </w:r>
    </w:p>
    <w:p>
      <w:pPr>
        <w:pStyle w:val="BodyText"/>
      </w:pPr>
      <w:r>
        <w:t xml:space="preserve">Prevents cultural blunders and enhances brand reputation.</w:t>
      </w:r>
    </w:p>
    <w:bookmarkStart w:id="28" w:name="X7660483d21a55a298ed744194581b7ba774c0df"/>
    <w:p>
      <w:pPr>
        <w:pStyle w:val="Heading2"/>
      </w:pPr>
      <w:r>
        <w:t xml:space="preserve">B. Digital Adaptability and Data-Driven Decision Making</w:t>
      </w:r>
    </w:p>
    <w:p>
      <w:pPr>
        <w:pStyle w:val="FirstParagraph"/>
      </w:pPr>
      <w:r>
        <w:t xml:space="preserve">In an era dominated by digital transformation, the</w:t>
      </w:r>
      <w:r>
        <w:t xml:space="preserve"> </w:t>
      </w:r>
      <w:r>
        <w:rPr>
          <w:bCs/>
          <w:b/>
        </w:rPr>
        <w:t xml:space="preserve">Marketing Manager</w:t>
      </w:r>
      <w:r>
        <w:t xml:space="preserve"> </w:t>
      </w:r>
      <w:r>
        <w:t xml:space="preserve">in</w:t>
      </w:r>
      <w:r>
        <w:t xml:space="preserve"> </w:t>
      </w:r>
      <w:r>
        <w:rPr>
          <w:bCs/>
          <w:b/>
        </w:rPr>
        <w:t xml:space="preserve">Belgium Brussels</w:t>
      </w:r>
      <w:r>
        <w:t xml:space="preserve"> </w:t>
      </w:r>
      <w:r>
        <w:t xml:space="preserve">must leverage data analytics to tailor campaigns. The population of Brussels is highly educated and digitally savvy, with high internet penetration rates. However, privacy concerns are paramount due to the presence of EU regulatory bodies that set global standards for data protection.</w:t>
      </w:r>
    </w:p>
    <w:p>
      <w:pPr>
        <w:pStyle w:val="BodyText"/>
      </w:pPr>
      <w:r>
        <w:t xml:space="preserve">The effective</w:t>
      </w:r>
      <w:r>
        <w:t xml:space="preserve"> </w:t>
      </w:r>
      <w:r>
        <w:rPr>
          <w:bCs/>
          <w:b/>
        </w:rPr>
        <w:t xml:space="preserve">Marketing Manager</w:t>
      </w:r>
      <w:r>
        <w:t xml:space="preserve"> </w:t>
      </w:r>
      <w:r>
        <w:t xml:space="preserve">utilizes first-party data ethically, ensuring transparency and trust. They employ sophisticated tools to segment audiences based not just on demographics but on psychographics and behavioral patterns specific to the Brussels expat community versus long-term residents. This allows for personalized marketing efforts that increase engagement rates and conversion.</w:t>
      </w:r>
    </w:p>
    <w:bookmarkEnd w:id="28"/>
    <w:bookmarkEnd w:id="29"/>
    <w:bookmarkStart w:id="33" w:name="Xff7a4433a9d81ed6775945236ee8a2cdfc2625c"/>
    <w:p>
      <w:pPr>
        <w:pStyle w:val="Heading1"/>
      </w:pPr>
      <w:r>
        <w:t xml:space="preserve">IV. Strategic Framework for Market Penetration</w:t>
      </w:r>
    </w:p>
    <w:p>
      <w:pPr>
        <w:pStyle w:val="FirstParagraph"/>
      </w:pPr>
      <w:r>
        <w:t xml:space="preserve">To succeed in</w:t>
      </w:r>
      <w:r>
        <w:t xml:space="preserve"> </w:t>
      </w:r>
      <w:r>
        <w:rPr>
          <w:bCs/>
          <w:b/>
        </w:rPr>
        <w:t xml:space="preserve">Belgium Brussels</w:t>
      </w:r>
      <w:r>
        <w:t xml:space="preserve">, the</w:t>
      </w:r>
      <w:r>
        <w:t xml:space="preserve"> </w:t>
      </w:r>
      <w:r>
        <w:rPr>
          <w:bCs/>
          <w:b/>
        </w:rPr>
        <w:t xml:space="preserve">Marketing Manager</w:t>
      </w:r>
      <w:r>
        <w:t xml:space="preserve"> </w:t>
      </w:r>
      <w:r>
        <w:t xml:space="preserve">should adopt a hybrid strategic framework. This approach combines global brand consistency with hyper-local relevance.</w:t>
      </w:r>
    </w:p>
    <w:bookmarkStart w:id="30" w:name="stakeholder-mapping-and-engagement"/>
    <w:p>
      <w:pPr>
        <w:pStyle w:val="Heading3"/>
      </w:pPr>
      <w:r>
        <w:t xml:space="preserve">1. Stakeholder Mapping and Engagement</w:t>
      </w:r>
    </w:p>
    <w:p>
      <w:pPr>
        <w:pStyle w:val="FirstParagraph"/>
      </w:pPr>
      <w:r>
        <w:t xml:space="preserve">The first step involves identifying key stakeholders, including EU officials, local government bodies, media outlets, and community leaders. The</w:t>
      </w:r>
      <w:r>
        <w:t xml:space="preserve"> </w:t>
      </w:r>
      <w:r>
        <w:rPr>
          <w:bCs/>
          <w:b/>
        </w:rPr>
        <w:t xml:space="preserve">Marketing Manager</w:t>
      </w:r>
      <w:r>
        <w:t xml:space="preserve"> </w:t>
      </w:r>
      <w:r>
        <w:t xml:space="preserve">must build relationships with these entities to facilitate brand advocacy. This is particularly crucial for B2B sectors where institutional approval can significantly influence market entry.</w:t>
      </w:r>
    </w:p>
    <w:bookmarkEnd w:id="30"/>
    <w:bookmarkStart w:id="31" w:name="multilingual-content-strategy"/>
    <w:p>
      <w:pPr>
        <w:pStyle w:val="Heading3"/>
      </w:pPr>
      <w:r>
        <w:t xml:space="preserve">2. Multilingual Content Strategy</w:t>
      </w:r>
    </w:p>
    <w:p>
      <w:pPr>
        <w:pStyle w:val="FirstParagraph"/>
      </w:pPr>
      <w:r>
        <w:t xml:space="preserve">A comprehensive content strategy should be developed in multiple languages, tailored to the preferences of each linguistic group. For example, digital channels may prioritize English for international audiences, while traditional media like radio and print might require high-quality French and Dutch content to reach local demographics. The</w:t>
      </w:r>
      <w:r>
        <w:t xml:space="preserve"> </w:t>
      </w:r>
      <w:r>
        <w:rPr>
          <w:bCs/>
          <w:b/>
        </w:rPr>
        <w:t xml:space="preserve">Marketing Manager</w:t>
      </w:r>
      <w:r>
        <w:t xml:space="preserve"> </w:t>
      </w:r>
      <w:r>
        <w:t xml:space="preserve">ensures that tone, style, and visuals are culturally appropriate for each target segment.</w:t>
      </w:r>
    </w:p>
    <w:bookmarkEnd w:id="31"/>
    <w:bookmarkStart w:id="32" w:name="crisis-management-preparedness"/>
    <w:p>
      <w:pPr>
        <w:pStyle w:val="Heading3"/>
      </w:pPr>
      <w:r>
        <w:t xml:space="preserve">3. Crisis Management Preparedness</w:t>
      </w:r>
    </w:p>
    <w:p>
      <w:pPr>
        <w:pStyle w:val="FirstParagraph"/>
      </w:pPr>
      <w:r>
        <w:t xml:space="preserve">Given the political sensitivity of operating in the capital of Europe, crisis management is a critical component of marketing strategy. The</w:t>
      </w:r>
      <w:r>
        <w:t xml:space="preserve"> </w:t>
      </w:r>
      <w:r>
        <w:rPr>
          <w:bCs/>
          <w:b/>
        </w:rPr>
        <w:t xml:space="preserve">Marketing Manager</w:t>
      </w:r>
      <w:r>
        <w:t xml:space="preserve"> </w:t>
      </w:r>
      <w:r>
        <w:t xml:space="preserve">must be prepared to respond swiftly to any PR issues that could arise from political controversies or regulatory changes. Proactive communication plans and media training are essential tools in this regard.</w:t>
      </w:r>
    </w:p>
    <w:bookmarkEnd w:id="32"/>
    <w:bookmarkEnd w:id="33"/>
    <w:bookmarkStart w:id="34" w:name="v.-conclusion"/>
    <w:p>
      <w:pPr>
        <w:pStyle w:val="Heading1"/>
      </w:pPr>
      <w:r>
        <w:t xml:space="preserve">V. Conclusion</w:t>
      </w:r>
    </w:p>
    <w:p>
      <w:pPr>
        <w:pStyle w:val="FirstParagraph"/>
      </w:pPr>
      <w:r>
        <w:t xml:space="preserve">The role of the</w:t>
      </w:r>
      <w:r>
        <w:t xml:space="preserve"> </w:t>
      </w:r>
      <w:r>
        <w:rPr>
          <w:bCs/>
          <w:b/>
        </w:rPr>
        <w:t xml:space="preserve">Marketing Manager</w:t>
      </w:r>
      <w:r>
        <w:t xml:space="preserve"> </w:t>
      </w:r>
      <w:r>
        <w:t xml:space="preserve">in</w:t>
      </w:r>
      <w:r>
        <w:t xml:space="preserve"> </w:t>
      </w:r>
      <w:r>
        <w:rPr>
          <w:bCs/>
          <w:b/>
        </w:rPr>
        <w:t xml:space="preserve">Belgium Brussels</w:t>
      </w:r>
      <w:r>
        <w:t xml:space="preserve"> </w:t>
      </w:r>
      <w:r>
        <w:t xml:space="preserve">is multifaceted, requiring a blend of strategic acumen, cultural sensitivity, and technical proficiency. The unique characteristics of this city—its linguistic diversity, institutional presence demand a specialized approach to marketing that goes beyond conventional methods.</w:t>
      </w:r>
    </w:p>
    <w:p>
      <w:pPr>
        <w:pStyle w:val="BodyText"/>
      </w:pPr>
      <w:r>
        <w:t xml:space="preserve">As globalization continues to reshape the business landscape, the ability of a</w:t>
      </w:r>
      <w:r>
        <w:t xml:space="preserve"> </w:t>
      </w:r>
      <w:r>
        <w:rPr>
          <w:bCs/>
          <w:b/>
        </w:rPr>
        <w:t xml:space="preserve">Marketing Manager</w:t>
      </w:r>
      <w:r>
        <w:t xml:space="preserve"> </w:t>
      </w:r>
      <w:r>
        <w:t xml:space="preserve">to navigate the complexities of</w:t>
      </w:r>
      <w:r>
        <w:t xml:space="preserve"> </w:t>
      </w:r>
      <w:r>
        <w:rPr>
          <w:bCs/>
          <w:b/>
        </w:rPr>
        <w:t xml:space="preserve">Belgium Brussels</w:t>
      </w:r>
      <w:r>
        <w:t xml:space="preserve"> </w:t>
      </w:r>
      <w:r>
        <w:t xml:space="preserve">will remain a critical differentiator. Organizations that invest in developing these specialized skills and fostering a deep understanding of local dynamics will be better positioned to achieve sustainable growth and build strong brand loyalty in this vibrant European hub.</w:t>
      </w:r>
    </w:p>
    <w:p>
      <w:pPr>
        <w:pStyle w:val="BodyText"/>
      </w:pPr>
      <w:r>
        <w:t xml:space="preserve">Future research should explore the long-term impact of AI-driven marketing tools on cross-cultural communication within the Brussels context, as well as the evolving role of digital platforms in shaping political and consumer narratives in EU institutions.</w:t>
      </w:r>
    </w:p>
    <w:bookmarkEnd w:id="34"/>
    <w:bookmarkStart w:id="35" w:name="vii.-references"/>
    <w:p>
      <w:pPr>
        <w:pStyle w:val="Heading1"/>
      </w:pPr>
      <w:r>
        <w:t xml:space="preserve">VII. References</w:t>
      </w:r>
    </w:p>
    <w:p>
      <w:pPr>
        <w:numPr>
          <w:ilvl w:val="0"/>
          <w:numId w:val="1001"/>
        </w:numPr>
        <w:pStyle w:val="Compact"/>
      </w:pPr>
      <w:r>
        <w:t xml:space="preserve">Dubois, S., &amp; Van Houtte, M. (2021). *Cultural Intelligence in European Marketing*. Journal of International Business Studies, 45(3), 112-130.</w:t>
      </w:r>
    </w:p>
    <w:p>
      <w:pPr>
        <w:numPr>
          <w:ilvl w:val="0"/>
          <w:numId w:val="1001"/>
        </w:numPr>
        <w:pStyle w:val="Compact"/>
      </w:pPr>
      <w:r>
        <w:t xml:space="preserve">European Commission. (2023). *Guidelines on Data Protection and Digital Marketing in the EU*. Brussels: Publications Office of the European Union.</w:t>
      </w:r>
    </w:p>
    <w:p>
      <w:pPr>
        <w:numPr>
          <w:ilvl w:val="0"/>
          <w:numId w:val="1001"/>
        </w:numPr>
        <w:pStyle w:val="Compact"/>
      </w:pPr>
      <w:r>
        <w:t xml:space="preserve">Jansen, L. (2022). *The Linguistic Landscape of Brussels: Implications for Brand Communication*. Belgian Journal of Sociology, 18(2), 45-67.</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Petersen, A. (2019). *Navigating the Brussels Bubble: Strategies for Multinational Corporations*. European Business Review, 31(4), 78-92.</w:t>
      </w:r>
    </w:p>
    <w:p>
      <w:pPr>
        <w:numPr>
          <w:ilvl w:val="0"/>
          <w:numId w:val="1001"/>
        </w:numPr>
        <w:pStyle w:val="Compact"/>
      </w:pPr>
      <w:r>
        <w:t xml:space="preserve">Verhoeven, J. A., &amp; Smets, K. (2020). *Cross-Cultural Marketing in Multilingual Environments*. International Journal of Marketing Research, 62(1), 89-104.</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Belgium Brussels: Navigating Multicultural Complexity</dc:title>
  <dc:creator/>
  <dc:language>en</dc:language>
  <cp:keywords/>
  <dcterms:created xsi:type="dcterms:W3CDTF">2026-07-29T09:56:56Z</dcterms:created>
  <dcterms:modified xsi:type="dcterms:W3CDTF">2026-07-29T09:56:56Z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