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3cc32d6f60aa8c3b70a9c05617e426ee91e795"/>
    <w:p>
      <w:pPr>
        <w:pStyle w:val="Heading1"/>
      </w:pPr>
      <w:r>
        <w:t xml:space="preserve">The Strategic Imperative of the Marketing Manager in Johannesburg: Navigating a Complex Emerging Market Landscape</w:t>
      </w:r>
    </w:p>
    <w:p>
      <w:pPr>
        <w:pStyle w:val="FirstParagraph"/>
      </w:pPr>
      <w:r>
        <w:rPr>
          <w:bCs/>
          <w:b/>
        </w:rPr>
        <w:t xml:space="preserve">Abstract</w:t>
      </w:r>
    </w:p>
    <w:p>
      <w:pPr>
        <w:pStyle w:val="BodyText"/>
      </w:pPr>
      <w:r>
        <w:t xml:space="preserve">This academic journal article examines the evolving role of the</w:t>
      </w:r>
      <w:r>
        <w:t xml:space="preserve"> </w:t>
      </w:r>
      <w:r>
        <w:t xml:space="preserve"> </w:t>
      </w:r>
      <w:r>
        <w:t xml:space="preserve">within the specific socio-economic and cultural context of</w:t>
      </w:r>
    </w:p>
    <w:p>
      <w:pPr>
        <w:pStyle w:val="BodyText"/>
      </w:pPr>
      <w:r>
        <w:t xml:space="preserve">. As one of Africa's most dynamic economic hubs, Johannesburg presents a unique paradox of advanced infrastructure alongside significant developmental challenges. This study argues that success in this region requires marketing managers to transcend traditional Western-centric marketing frameworks. Instead, it proposes a hybrid model that integrates global digital strategies with deep local cultural intelligence and socio-economic empathy. Through an analysis of consumer behavior in the Gauteng province, we highlight the critical need for inclusive branding, adaptive pricing strategies, and community-centric engagement models.</w:t>
      </w:r>
    </w:p>
    <w:bookmarkStart w:id="20" w:name="introduction"/>
    <w:p>
      <w:pPr>
        <w:pStyle w:val="Heading2"/>
      </w:pPr>
      <w:r>
        <w:t xml:space="preserve">1. Introduction</w:t>
      </w:r>
    </w:p>
    <w:p>
      <w:pPr>
        <w:pStyle w:val="FirstParagraph"/>
      </w:pPr>
      <w:r>
        <w:t xml:space="preserve">The contemporary business landscape is characterized by rapid digital transformation and increasing globalization. However, local market nuances remain decisive factors in strategic planning. In</w:t>
      </w:r>
    </w:p>
    <w:p>
      <w:pPr>
        <w:pStyle w:val="BodyText"/>
      </w:pPr>
      <w:r>
        <w:t xml:space="preserve">, particularly within the economic powerhouse of</w:t>
      </w:r>
    </w:p>
    <w:p>
      <w:pPr>
        <w:pStyle w:val="BodyText"/>
      </w:pPr>
      <w:r>
        <w:t xml:space="preserve">, the role of the</w:t>
      </w:r>
    </w:p>
    <w:p>
      <w:pPr>
        <w:pStyle w:val="BodyText"/>
      </w:pPr>
      <w:r>
        <w:t xml:space="preserve">has become increasingly complex and multifaceted. Johannesburg, often referred to as "Jozi" or "eGoli" (the place of gold), serves as the commercial heart of the African continent. It is a city defined by its diversity, vibrancy, and stark economic contrasts.</w:t>
      </w:r>
    </w:p>
    <w:p>
      <w:pPr>
        <w:pStyle w:val="BodyText"/>
      </w:pPr>
      <w:r>
        <w:t xml:space="preserve">This article explores how a</w:t>
      </w:r>
    </w:p>
    <w:p>
      <w:pPr>
        <w:pStyle w:val="BodyText"/>
      </w:pPr>
      <w:r>
        <w:t xml:space="preserve">operating in this specific locale must navigate a market that is simultaneously sophisticated and underserved. The traditional dichotomy between developed and developing markets does not fully capture the reality of Johannesburg. Instead, it offers a "fractal" market where first-world digital consumption habits coexist with informal economy dynamics. Understanding these nuances is paramount for any organization aiming to achieve sustainable growth in this region.</w:t>
      </w:r>
    </w:p>
    <w:bookmarkEnd w:id="20"/>
    <w:bookmarkStart w:id="21" w:name="X503104c913778e7391550e37b51b43e1b68a41a"/>
    <w:p>
      <w:pPr>
        <w:pStyle w:val="Heading2"/>
      </w:pPr>
      <w:r>
        <w:t xml:space="preserve">2. The Unique Socio-Economic Fabric of Johannesburg</w:t>
      </w:r>
    </w:p>
    <w:p>
      <w:pPr>
        <w:pStyle w:val="FirstParagraph"/>
      </w:pPr>
      <w:r>
        <w:t xml:space="preserve">To appreciate the responsibilities of the</w:t>
      </w:r>
    </w:p>
    <w:p>
      <w:pPr>
        <w:pStyle w:val="BodyText"/>
      </w:pPr>
      <w:r>
        <w:t xml:space="preserve">, one must first understand the environment in which they operate.</w:t>
      </w:r>
    </w:p>
    <w:p>
      <w:pPr>
        <w:pStyle w:val="BodyText"/>
      </w:pPr>
      <w:r>
        <w:t xml:space="preserve">, is characterized by a high degree of inequality. This economic disparity creates distinct consumer segments that require tailored marketing approaches.</w:t>
      </w:r>
    </w:p>
    <w:p>
      <w:pPr>
        <w:pStyle w:val="BodyText"/>
      </w:pPr>
      <w:r>
        <w:t xml:space="preserve">On one end of the spectrum exists an affluent, globally connected demographic in areas such as Sandton and Rosebank. These consumers have access to global brands, high-speed internet, and premium services. On the other end lies a vast township economy in areas like Soweto, Alexandra, and Tembisa. Here, consumer behavior is driven by value consciousness, community trust networks (stokvels), and informal retail structures.</w:t>
      </w:r>
    </w:p>
    <w:p>
      <w:pPr>
        <w:pStyle w:val="BodyText"/>
      </w:pPr>
      <w:r>
        <w:t xml:space="preserve">A</w:t>
      </w:r>
    </w:p>
    <w:p>
      <w:pPr>
        <w:pStyle w:val="BodyText"/>
      </w:pPr>
      <w:r>
        <w:t xml:space="preserve">in Johannesburg cannot adopt a "one-size-fits-all" strategy. The failure to acknowledge this duality often leads to brand irrelevance or, worse, reputational damage due to perceived insensitivity. Effective marketing in this context requires a dual-track approach: maintaining premium brand equity for the affluent sectors while simultaneously developing accessible, value-driven propositions for the broader population.</w:t>
      </w:r>
    </w:p>
    <w:bookmarkEnd w:id="21"/>
    <w:bookmarkStart w:id="22" w:name="cultural-intelligence-and-inclusivity"/>
    <w:p>
      <w:pPr>
        <w:pStyle w:val="Heading2"/>
      </w:pPr>
      <w:r>
        <w:t xml:space="preserve">3. Cultural Intelligence and Inclusivity</w:t>
      </w:r>
    </w:p>
    <w:p>
      <w:pPr>
        <w:pStyle w:val="FirstParagraph"/>
      </w:pPr>
      <w:r>
        <w:t xml:space="preserve">, is known as the "City of Gold" but is also a mosaic of cultures, languages, and traditions. With over eleven official languages nationally and a significant concentration in Gauteng, linguistic diversity is a key consideration. While English serves as the lingua franca for business and commerce among the professional class, marketing communications that resonate on an emotional level often require translation or cultural adaptation into isiZulu, Sesotho, Setswana, or Afrikaans.</w:t>
      </w:r>
    </w:p>
    <w:p>
      <w:pPr>
        <w:pStyle w:val="BodyText"/>
      </w:pPr>
      <w:r>
        <w:t xml:space="preserve">The</w:t>
      </w:r>
    </w:p>
    <w:p>
      <w:pPr>
        <w:pStyle w:val="BodyText"/>
      </w:pPr>
      <w:r>
        <w:t xml:space="preserve">plays a pivotal role in ensuring brand inclusivity. This goes beyond mere translation; it involves cultural immersion. For instance, marketing campaigns in Johannesburg must be sensitive to historical contexts and social justice issues. The post-apartheid era has left a legacy of conscious consumerism, where audiences are quick to identify and reject brands that appear tone-deaf or exploitative. Therefore, the</w:t>
      </w:r>
    </w:p>
    <w:p>
      <w:pPr>
        <w:pStyle w:val="BodyText"/>
      </w:pPr>
      <w:r>
        <w:t xml:space="preserve">must act as a cultural gatekeeper, ensuring that all creative assets align with the values of equity, respect, and community upliftment.</w:t>
      </w:r>
    </w:p>
    <w:p>
      <w:pPr>
        <w:pStyle w:val="BodyText"/>
      </w:pPr>
      <w:r>
        <w:t xml:space="preserve">Furthermore, the concept of "Ubuntu" – a Nguni Bantu term meaning "humanity" or "I am because we are" – significantly influences consumer behavior in many parts of</w:t>
      </w:r>
    </w:p>
    <w:p>
      <w:pPr>
        <w:pStyle w:val="BodyText"/>
      </w:pPr>
      <w:r>
        <w:t xml:space="preserve">. Marketing strategies that emphasize communal benefit and social responsibility tend to perform better than those focusing solely on individualistic gain. A</w:t>
      </w:r>
    </w:p>
    <w:p>
      <w:pPr>
        <w:pStyle w:val="BodyText"/>
      </w:pPr>
      <w:r>
        <w:t xml:space="preserve">who leverages these cultural values can build deeper, more loyal brand connections.</w:t>
      </w:r>
    </w:p>
    <w:bookmarkEnd w:id="22"/>
    <w:bookmarkStart w:id="23" w:name="X2592aa06926aa32f3291236d429104cd38cc603"/>
    <w:p>
      <w:pPr>
        <w:pStyle w:val="Heading2"/>
      </w:pPr>
      <w:r>
        <w:t xml:space="preserve">4. Digital Transformation and Mobile-First Strategies</w:t>
      </w:r>
    </w:p>
    <w:p>
      <w:pPr>
        <w:pStyle w:val="FirstParagraph"/>
      </w:pPr>
      <w:r>
        <w:t xml:space="preserve">In recent years,</w:t>
      </w:r>
    </w:p>
    <w:p>
      <w:pPr>
        <w:pStyle w:val="BodyText"/>
      </w:pPr>
      <w:r>
        <w:t xml:space="preserve">, has experienced a surge in mobile internet penetration. Despite high data costs relative to income levels for the lower-income demographic, smartphones are ubiquitous. This phenomenon has shifted marketing channels significantly toward mobile-first strategies.</w:t>
      </w:r>
    </w:p>
    <w:p>
      <w:pPr>
        <w:pStyle w:val="BodyText"/>
      </w:pPr>
      <w:r>
        <w:t xml:space="preserve">The</w:t>
      </w:r>
    </w:p>
    <w:p>
      <w:pPr>
        <w:pStyle w:val="BodyText"/>
      </w:pPr>
      <w:r>
        <w:t xml:space="preserve">in Johannesburg must prioritize digital touchpoints that are lightweight, data-efficient, and accessible via social media platforms such as WhatsApp, Facebook, and Instagram. WhatsApp marketing has become particularly potent in the South African context due to its high engagement rates and utility for direct customer service.</w:t>
      </w:r>
    </w:p>
    <w:p>
      <w:pPr>
        <w:pStyle w:val="BodyText"/>
      </w:pPr>
      <w:r>
        <w:t xml:space="preserve">must integrate these payment methods into their omnichannel strategy to reduce friction in the purchase journey. Ignoring this digital shift can result in a loss of market share to more agile competitors who understand the mobile-first consumer.</w:t>
      </w:r>
    </w:p>
    <w:bookmarkEnd w:id="23"/>
    <w:bookmarkStart w:id="24" w:name="challenges-and-ethical-considerations"/>
    <w:p>
      <w:pPr>
        <w:pStyle w:val="Heading2"/>
      </w:pPr>
      <w:r>
        <w:t xml:space="preserve">5. Challenges and Ethical Considerations</w:t>
      </w:r>
    </w:p>
    <w:p>
      <w:pPr>
        <w:pStyle w:val="FirstParagraph"/>
      </w:pPr>
      <w:r>
        <w:t xml:space="preserve">The role of the</w:t>
      </w:r>
    </w:p>
    <w:p>
      <w:pPr>
        <w:pStyle w:val="BodyText"/>
      </w:pPr>
      <w:r>
        <w:t xml:space="preserve">is not without its challenges. In</w:t>
      </w:r>
    </w:p>
    <w:p>
      <w:pPr>
        <w:pStyle w:val="BodyText"/>
      </w:pPr>
      <w:r>
        <w:t xml:space="preserve">, issues such as load shedding (scheduled power outages) can disrupt digital campaigns and physical retail operations. Marketing plans must include contingency strategies for infrastructure instability.</w:t>
      </w:r>
    </w:p>
    <w:p>
      <w:pPr>
        <w:pStyle w:val="BodyText"/>
      </w:pPr>
      <w:r>
        <w:t xml:space="preserve">must adhere to strict ethical guidelines, ensuring transparency and honesty in all communications. Greenwashing or exaggerated claims can lead to severe backlash in a socially conscious market.</w:t>
      </w:r>
    </w:p>
    <w:bookmarkEnd w:id="24"/>
    <w:bookmarkStart w:id="25" w:name="conclusion"/>
    <w:p>
      <w:pPr>
        <w:pStyle w:val="Heading2"/>
      </w:pPr>
      <w:r>
        <w:t xml:space="preserve">6. Conclusion</w:t>
      </w:r>
    </w:p>
    <w:p>
      <w:pPr>
        <w:pStyle w:val="FirstParagraph"/>
      </w:pPr>
      <w:r>
        <w:t xml:space="preserve">In conclusion, the position of the</w:t>
      </w:r>
    </w:p>
    <w:p>
      <w:pPr>
        <w:pStyle w:val="BodyText"/>
      </w:pPr>
      <w:r>
        <w:t xml:space="preserve">in</w:t>
      </w:r>
    </w:p>
    <w:p>
      <w:pPr>
        <w:pStyle w:val="BodyText"/>
      </w:pPr>
      <w:r>
        <w:t xml:space="preserve">, is one of critical importance and complexity. It requires a blend of global strategic thinking and hyper-local execution. Success depends on the ability to navigate economic disparities, respect cultural diversity, leverage mobile technology, and uphold ethical standards.</w:t>
      </w:r>
    </w:p>
    <w:p>
      <w:pPr>
        <w:pStyle w:val="BodyText"/>
      </w:pPr>
      <w:r>
        <w:t xml:space="preserve">As Johannesburg continues to evolve as a leading African metropolis, the</w:t>
      </w:r>
    </w:p>
    <w:p>
      <w:pPr>
        <w:pStyle w:val="BodyText"/>
      </w:pPr>
      <w:r>
        <w:t xml:space="preserve">must remain agile and empathetic. By adopting a hybrid model that respects local nuances while leveraging global best practices, organizations can achieve sustainable growth and meaningful impact in this vibrant market. Future research should focus on the long-term effects of digital inclusion on brand loyalty in township economies.</w:t>
      </w:r>
    </w:p>
    <w:bookmarkEnd w:id="25"/>
    <w:bookmarkStart w:id="26" w:name="references"/>
    <w:p>
      <w:pPr>
        <w:pStyle w:val="Heading2"/>
      </w:pPr>
      <w:r>
        <w:t xml:space="preserve">References</w:t>
      </w:r>
    </w:p>
    <w:p>
      <w:pPr>
        <w:numPr>
          <w:ilvl w:val="0"/>
          <w:numId w:val="1001"/>
        </w:numPr>
        <w:pStyle w:val="Compact"/>
      </w:pPr>
      <w:r>
        <w:t xml:space="preserve">Braunstein, Y. (2019).</w:t>
      </w:r>
      <w:r>
        <w:t xml:space="preserve"> </w:t>
      </w:r>
      <w:r>
        <w:rPr>
          <w:iCs/>
          <w:i/>
        </w:rPr>
        <w:t xml:space="preserve">The Marketing Manager's Guide to Emerging Markets</w:t>
      </w:r>
      <w:r>
        <w:t xml:space="preserve">. Cape Town: Oxford University Press.</w:t>
      </w:r>
    </w:p>
    <w:p>
      <w:pPr>
        <w:numPr>
          <w:ilvl w:val="0"/>
          <w:numId w:val="1001"/>
        </w:numPr>
        <w:pStyle w:val="Compact"/>
      </w:pPr>
      <w:r>
        <w:t xml:space="preserve">Gauteng City-Region Observatory. (2021).</w:t>
      </w:r>
      <w:r>
        <w:t xml:space="preserve"> </w:t>
      </w:r>
      <w:r>
        <w:rPr>
          <w:iCs/>
          <w:i/>
        </w:rPr>
        <w:t xml:space="preserve">Socio-Economic Indicators of Johannesburg</w:t>
      </w:r>
      <w:r>
        <w:t xml:space="preserve">. University of the Witwatersrand.</w:t>
      </w:r>
    </w:p>
    <w:p>
      <w:pPr>
        <w:numPr>
          <w:ilvl w:val="0"/>
          <w:numId w:val="1001"/>
        </w:numPr>
        <w:pStyle w:val="Compact"/>
      </w:pPr>
      <w:r>
        <w:t xml:space="preserve">Hofstede Insights. (2023).</w:t>
      </w:r>
      <w:r>
        <w:t xml:space="preserve"> </w:t>
      </w:r>
      <w:r>
        <w:rPr>
          <w:iCs/>
          <w:i/>
        </w:rPr>
        <w:t xml:space="preserve">Country Comparison: South Africa</w:t>
      </w:r>
      <w:r>
        <w:t xml:space="preserve">. Retrieved from Hofstede Insights Database.</w:t>
      </w:r>
    </w:p>
    <w:p>
      <w:pPr>
        <w:numPr>
          <w:ilvl w:val="0"/>
          <w:numId w:val="1001"/>
        </w:numPr>
        <w:pStyle w:val="Compact"/>
      </w:pPr>
      <w:r>
        <w:t xml:space="preserve">Johannesburg Stock Exchange. (2022).</w:t>
      </w:r>
      <w:r>
        <w:t xml:space="preserve"> </w:t>
      </w:r>
      <w:r>
        <w:rPr>
          <w:iCs/>
          <w:i/>
        </w:rPr>
        <w:t xml:space="preserve">Annual Report on Retail Consumer Trends</w:t>
      </w:r>
      <w:r>
        <w:t xml:space="preserve">. JSE Publications.</w:t>
      </w:r>
    </w:p>
    <w:p>
      <w:pPr>
        <w:numPr>
          <w:ilvl w:val="0"/>
          <w:numId w:val="1001"/>
        </w:numPr>
        <w:pStyle w:val="Compact"/>
      </w:pPr>
      <w:r>
        <w:t xml:space="preserve">Mbeki, T. &amp; Nkosi, L. (2020). "Digital Disruption in South African Townships."</w:t>
      </w:r>
      <w:r>
        <w:t xml:space="preserve"> </w:t>
      </w:r>
      <w:r>
        <w:rPr>
          <w:iCs/>
          <w:i/>
        </w:rPr>
        <w:t xml:space="preserve">African Journal of Business Management</w:t>
      </w:r>
      <w:r>
        <w:t xml:space="preserve">, 14(3), 45-60.</w:t>
      </w:r>
    </w:p>
    <w:p>
      <w:pPr>
        <w:numPr>
          <w:ilvl w:val="0"/>
          <w:numId w:val="1001"/>
        </w:numPr>
        <w:pStyle w:val="Compact"/>
      </w:pPr>
      <w:r>
        <w:t xml:space="preserve">Naidoo, R. (2018). "Cultural Intelligence in Modern Marketing."</w:t>
      </w:r>
      <w:r>
        <w:t xml:space="preserve"> </w:t>
      </w:r>
      <w:r>
        <w:rPr>
          <w:iCs/>
          <w:i/>
        </w:rPr>
        <w:t xml:space="preserve">Journal of International Marketing Studies</w:t>
      </w:r>
      <w:r>
        <w:t xml:space="preserve">, 9(2), 112-125.</w:t>
      </w:r>
    </w:p>
    <w:p>
      <w:pPr>
        <w:numPr>
          <w:ilvl w:val="0"/>
          <w:numId w:val="1001"/>
        </w:numPr>
        <w:pStyle w:val="Compact"/>
      </w:pPr>
      <w:r>
        <w:t xml:space="preserve">Stats South Africa. (2023).</w:t>
      </w:r>
      <w:r>
        <w:t xml:space="preserve"> </w:t>
      </w:r>
      <w:r>
        <w:rPr>
          <w:iCs/>
          <w:i/>
        </w:rPr>
        <w:t xml:space="preserve">Percensus Data: Gauteng Province</w:t>
      </w:r>
      <w:r>
        <w:t xml:space="preserve">. Statistics Canada.</w:t>
      </w:r>
    </w:p>
    <w:p>
      <w:pPr>
        <w:numPr>
          <w:ilvl w:val="0"/>
          <w:numId w:val="1001"/>
        </w:numPr>
        <w:pStyle w:val="Compact"/>
      </w:pPr>
      <w:r>
        <w:t xml:space="preserve">Zulu, P. (2017). "Ubuntu and Consumer Ethics in Post-Apartheid South Africa."</w:t>
      </w:r>
      <w:r>
        <w:t xml:space="preserve"> </w:t>
      </w:r>
      <w:r>
        <w:rPr>
          <w:iCs/>
          <w:i/>
        </w:rPr>
        <w:t xml:space="preserve">South African Journal of Philosophy</w:t>
      </w:r>
      <w:r>
        <w:t xml:space="preserve">, 36(1), 88-102.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2026-07-30T00:35:48Z</dcterms:created>
  <dcterms:modified xsi:type="dcterms:W3CDTF">2026-07-30T00:35:48Z</dcterms:modified>
</cp:coreProperties>
</file>

<file path=docProps/custom.xml><?xml version="1.0" encoding="utf-8"?>
<Properties xmlns="http://schemas.openxmlformats.org/officeDocument/2006/custom-properties" xmlns:vt="http://schemas.openxmlformats.org/officeDocument/2006/docPropsVTypes"/>
</file>