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Geopolitical</w:t>
      </w:r>
      <w:r>
        <w:t xml:space="preserve"> </w:t>
      </w:r>
      <w:r>
        <w:t xml:space="preserve">and</w:t>
      </w:r>
      <w:r>
        <w:t xml:space="preserve"> </w:t>
      </w:r>
      <w:r>
        <w:t xml:space="preserve">Economic</w:t>
      </w:r>
      <w:r>
        <w:t xml:space="preserve"> </w:t>
      </w:r>
      <w:r>
        <w:t xml:space="preserve">Metamorphosis</w:t>
      </w:r>
      <w:r>
        <w:t xml:space="preserve"> </w:t>
      </w:r>
      <w:r>
        <w:t xml:space="preserve">of</w:t>
      </w:r>
      <w:r>
        <w:t xml:space="preserve"> </w:t>
      </w:r>
      <w:r>
        <w:t xml:space="preserve">Masonic</w:t>
      </w:r>
      <w:r>
        <w:t xml:space="preserve"> </w:t>
      </w:r>
      <w:r>
        <w:t xml:space="preserve">Influence</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Kuwait</w:t>
      </w:r>
      <w:r>
        <w:t xml:space="preserve"> </w:t>
      </w:r>
      <w:r>
        <w:t xml:space="preserve">City</w:t>
      </w:r>
    </w:p>
    <w:bookmarkStart w:id="28" w:name="X1786dd761b1a7bb8916ce17af3f66827a52b6f3"/>
    <w:p>
      <w:pPr>
        <w:pStyle w:val="Heading1"/>
      </w:pPr>
      <w:r>
        <w:t xml:space="preserve">The Geopolitical and Economic Metamorphosis of Masonic Influence in the Contemporary Landscape of Kuwait City</w:t>
      </w:r>
    </w:p>
    <w:bookmarkStart w:id="27" w:name="X04b5ec5c4f4c3976cb8989ed0a4e0ae517b4a18"/>
    <w:p>
      <w:pPr>
        <w:pStyle w:val="Heading3"/>
      </w:pPr>
      <w:r>
        <w:t xml:space="preserve">A Special Issue on Gulf Sociopolitical Dynamics</w:t>
      </w:r>
    </w:p>
    <w:p>
      <w:pPr>
        <w:pStyle w:val="FirstParagraph"/>
      </w:pPr>
      <w:r>
        <w:rPr>
          <w:bCs/>
          <w:b/>
        </w:rPr>
        <w:t xml:space="preserve">Date:</w:t>
      </w:r>
      <w:r>
        <w:t xml:space="preserve"> </w:t>
      </w:r>
      <w:r>
        <w:t xml:space="preserve">October 24, 2023</w:t>
      </w:r>
      <w:r>
        <w:br/>
      </w:r>
      <w:r>
        <w:rPr>
          <w:bCs/>
          <w:b/>
        </w:rPr>
        <w:t xml:space="preserve">Journal:</w:t>
      </w:r>
      <w:r>
        <w:t xml:space="preserve"> </w:t>
      </w:r>
      <w:r>
        <w:t xml:space="preserve">International Review of Middle Eastern Studies and Global Affairs</w:t>
      </w:r>
    </w:p>
    <w:p>
      <w:pPr>
        <w:pStyle w:val="BodyText"/>
      </w:pPr>
      <w:r>
        <w:rPr>
          <w:bCs/>
          <w:b/>
        </w:rPr>
        <w:t xml:space="preserve">Abstract</w:t>
      </w:r>
    </w:p>
    <w:p>
      <w:pPr>
        <w:pStyle w:val="BodyText"/>
      </w:pPr>
      <w:r>
        <w:t xml:space="preserve">This article examines the historical trajectory and contemporary relevance of Masonic lodges within the specific socio-political context of Kuwait City, Kuwait. While often viewed through a lens of conspiracy or peripheral interest, this study argues that Masonic organizations have played a subtle yet significant role in shaping diplomatic networks, commercial exchanges, and cultural diplomacy in the region. By analyzing archival records from major lodges operating in</w:t>
      </w:r>
      <w:r>
        <w:t xml:space="preserve"> </w:t>
      </w:r>
      <w:r>
        <w:rPr>
          <w:bCs/>
          <w:b/>
        </w:rPr>
        <w:t xml:space="preserve">Kuwait City</w:t>
      </w:r>
      <w:r>
        <w:t xml:space="preserve"> </w:t>
      </w:r>
      <w:r>
        <w:t xml:space="preserve">and cross-referencing them with broader</w:t>
      </w:r>
      <w:r>
        <w:t xml:space="preserve"> </w:t>
      </w:r>
      <w:r>
        <w:rPr>
          <w:bCs/>
          <w:b/>
        </w:rPr>
        <w:t xml:space="preserve">Academic Journal Article</w:t>
      </w:r>
      <w:r>
        <w:t xml:space="preserve"> </w:t>
      </w:r>
      <w:r>
        <w:t xml:space="preserve">trends regarding fraternal orders in the Gulf, this paper elucidates how these institutions adapted to local customs while maintaining global connections. The findings suggest that Masonic presence in Kuwait served as a bridge for Western-Gulf interactions during periods of rapid modernization and decolonization.</w:t>
      </w:r>
    </w:p>
    <w:bookmarkStart w:id="20" w:name="i.-introduction"/>
    <w:p>
      <w:pPr>
        <w:pStyle w:val="Heading4"/>
      </w:pPr>
      <w:r>
        <w:t xml:space="preserve">I. Introduction</w:t>
      </w:r>
    </w:p>
    <w:p>
      <w:pPr>
        <w:pStyle w:val="FirstParagraph"/>
      </w:pPr>
      <w:r>
        <w:t xml:space="preserve">The study of fraternal organizations in the Middle East has traditionally been overshadowed by broader political narratives focusing on statecraft, oil economics, and religious dynamics. However, recent scholarship has begun to recognize the nuanced role that Masonic lodges played in fostering transnational dialogue and economic cooperation. This article specifically targets the unique environment of</w:t>
      </w:r>
      <w:r>
        <w:t xml:space="preserve"> </w:t>
      </w:r>
      <w:r>
        <w:rPr>
          <w:bCs/>
          <w:b/>
        </w:rPr>
        <w:t xml:space="preserve">Kuwait City</w:t>
      </w:r>
      <w:r>
        <w:t xml:space="preserve">, a hub of commerce and diplomacy in the Persian Gulf. The presence of Masonry in this region is not merely a colonial relic but an evolving entity that interacts with local traditions, Islamic law, and modern state-building efforts.</w:t>
      </w:r>
    </w:p>
    <w:p>
      <w:pPr>
        <w:pStyle w:val="BodyText"/>
      </w:pPr>
      <w:r>
        <w:t xml:space="preserve">In reviewing existing literature, it becomes evident that there is a scarcity of comprehensive studies dedicated to the specific operational history of lodges in</w:t>
      </w:r>
      <w:r>
        <w:t xml:space="preserve"> </w:t>
      </w:r>
      <w:r>
        <w:rPr>
          <w:bCs/>
          <w:b/>
        </w:rPr>
        <w:t xml:space="preserve">Kuwait City</w:t>
      </w:r>
      <w:r>
        <w:t xml:space="preserve">. Most general overviews treat the Gulf as a monolithic entity. This paper aims to fill that gap by providing a detailed analysis suitable for publication as an</w:t>
      </w:r>
      <w:r>
        <w:t xml:space="preserve"> </w:t>
      </w:r>
      <w:r>
        <w:rPr>
          <w:bCs/>
          <w:b/>
        </w:rPr>
        <w:t xml:space="preserve">Academic Journal Article</w:t>
      </w:r>
      <w:r>
        <w:t xml:space="preserve">. It explores how Masonic principles of secrecy, charity, and brotherhood resonated within a society that deeply values privacy and communal honor.</w:t>
      </w:r>
    </w:p>
    <w:bookmarkEnd w:id="20"/>
    <w:bookmarkStart w:id="21" w:name="X9dc02421270fb019597f49f8b44f5cef2a1cfe5"/>
    <w:p>
      <w:pPr>
        <w:pStyle w:val="Heading4"/>
      </w:pPr>
      <w:r>
        <w:t xml:space="preserve">II. Historical Context: The Arrival of Masonry in the Gulf</w:t>
      </w:r>
    </w:p>
    <w:p>
      <w:pPr>
        <w:pStyle w:val="FirstParagraph"/>
      </w:pPr>
      <w:r>
        <w:t xml:space="preserve">Masonry arrived in the Gulf region during the late nineteenth and early twentieth centuries, primarily through British colonial administrators, merchants, and military personnel stationed along the coast.</w:t>
      </w:r>
      <w:r>
        <w:t xml:space="preserve"> </w:t>
      </w:r>
      <w:r>
        <w:rPr>
          <w:bCs/>
          <w:b/>
        </w:rPr>
        <w:t xml:space="preserve">Kuwait City</w:t>
      </w:r>
      <w:r>
        <w:t xml:space="preserve">, emerging as a vital trading port due to its pearl industry and strategic location near Basra, became a natural point of contact for Western expatriates. The establishment of lodges in this area was initially limited to foreign nationals but gradually opened doors to select local elites interested in international commerce and diplomatic networking.</w:t>
      </w:r>
    </w:p>
    <w:p>
      <w:pPr>
        <w:pStyle w:val="BodyText"/>
      </w:pPr>
      <w:r>
        <w:t xml:space="preserve">The early lodges served as social clubs where British officials could maintain cultural ties while conducting business. However, the significance of these institutions extended beyond mere socialization. They functioned as informal diplomatic channels, facilitating communication between local ruling families and foreign powers during critical periods such as the World Wars and the subsequent decolonization era.</w:t>
      </w:r>
    </w:p>
    <w:bookmarkEnd w:id="21"/>
    <w:bookmarkStart w:id="22" w:name="X6c7d19701efe3457603797eb9fb359e51116bf1"/>
    <w:p>
      <w:pPr>
        <w:pStyle w:val="Heading4"/>
      </w:pPr>
      <w:r>
        <w:t xml:space="preserve">III. The Role of Masonry in Economic Diplomacy</w:t>
      </w:r>
    </w:p>
    <w:p>
      <w:pPr>
        <w:pStyle w:val="FirstParagraph"/>
      </w:pPr>
      <w:r>
        <w:t xml:space="preserve">One of the most critical aspects of Masonic activity in</w:t>
      </w:r>
      <w:r>
        <w:t xml:space="preserve"> </w:t>
      </w:r>
      <w:r>
        <w:rPr>
          <w:bCs/>
          <w:b/>
        </w:rPr>
        <w:t xml:space="preserve">Kuwait City</w:t>
      </w:r>
      <w:r>
        <w:t xml:space="preserve"> </w:t>
      </w:r>
      <w:r>
        <w:t xml:space="preserve">was its role in economic diplomacy. As Kuwait transitioned from a pearl-diving economy to an oil-based powerhouse, the need for international partnerships grew exponentially. Masonic lodges provided a neutral ground where Kuwaiti leaders and Western investors could establish personal relationships based on shared values of integrity and discretion.</w:t>
      </w:r>
    </w:p>
    <w:p>
      <w:pPr>
        <w:pStyle w:val="BodyText"/>
      </w:pPr>
      <w:r>
        <w:t xml:space="preserve">Archival evidence suggests that several key commercial treaties were preceded by informal meetings within Masonic halls. These interactions allowed for the building of trust, which was essential in a business culture that highly regarded personal reputation. For instance, discussions regarding oil concessions often found their preliminary stages in these fraternal settings, highlighting the lodge's function as an incubator for economic policy.</w:t>
      </w:r>
    </w:p>
    <w:bookmarkEnd w:id="22"/>
    <w:bookmarkStart w:id="23" w:name="X5432e2dd16fe2d76fc4415d776cf866dcd50993"/>
    <w:p>
      <w:pPr>
        <w:pStyle w:val="Heading4"/>
      </w:pPr>
      <w:r>
        <w:t xml:space="preserve">IV. Cultural Integration and Local Adaptation</w:t>
      </w:r>
    </w:p>
    <w:p>
      <w:pPr>
        <w:pStyle w:val="FirstParagraph"/>
      </w:pPr>
      <w:r>
        <w:t xml:space="preserve">A distinct feature of Masonry in</w:t>
      </w:r>
      <w:r>
        <w:t xml:space="preserve"> </w:t>
      </w:r>
      <w:r>
        <w:rPr>
          <w:bCs/>
          <w:b/>
        </w:rPr>
        <w:t xml:space="preserve">Kuwait City</w:t>
      </w:r>
      <w:r>
        <w:t xml:space="preserve"> </w:t>
      </w:r>
      <w:r>
        <w:t xml:space="preserve">was its adaptation to local cultural norms. Unlike in Europe, where Masonic practices were often overtly secular and sometimes antagonistic toward religious institutions, lodges in Kuwait had to navigate the complexities of Islamic society. This required a delicate balance between maintaining universal Masonic rites and respecting local customs.</w:t>
      </w:r>
    </w:p>
    <w:p>
      <w:pPr>
        <w:pStyle w:val="BodyText"/>
      </w:pPr>
      <w:r>
        <w:t xml:space="preserve">This adaptation is a frequent subject of</w:t>
      </w:r>
      <w:r>
        <w:t xml:space="preserve"> </w:t>
      </w:r>
      <w:r>
        <w:rPr>
          <w:bCs/>
          <w:b/>
        </w:rPr>
        <w:t xml:space="preserve">Academic Journal Article</w:t>
      </w:r>
      <w:r>
        <w:t xml:space="preserve"> </w:t>
      </w:r>
      <w:r>
        <w:t xml:space="preserve">debates regarding cultural syncretism. In Kuwait, the emphasis on charity (Sadaqah) aligned well with Masonic charitable works, allowing for broader acceptance among the local population. Furthermore, the lodge's commitment to education and community welfare resonated with Islamic values of benevolence. This synergy helped mitigate potential cultural clashes and allowed Masonry to operate as a benign social force rather than a foreign imposition.</w:t>
      </w:r>
    </w:p>
    <w:bookmarkEnd w:id="23"/>
    <w:bookmarkStart w:id="24" w:name="Xa07ab4c2cbe3550176225c7eeae32e6596297e4"/>
    <w:p>
      <w:pPr>
        <w:pStyle w:val="Heading4"/>
      </w:pPr>
      <w:r>
        <w:t xml:space="preserve">V. Political Implications and Modern Relevance</w:t>
      </w:r>
    </w:p>
    <w:p>
      <w:pPr>
        <w:pStyle w:val="FirstParagraph"/>
      </w:pPr>
      <w:r>
        <w:t xml:space="preserve">In the modern era, the political implications of Masonic lodges in</w:t>
      </w:r>
      <w:r>
        <w:t xml:space="preserve"> </w:t>
      </w:r>
      <w:r>
        <w:rPr>
          <w:bCs/>
          <w:b/>
        </w:rPr>
        <w:t xml:space="preserve">Kuwait City</w:t>
      </w:r>
      <w:r>
        <w:t xml:space="preserve"> </w:t>
      </w:r>
      <w:r>
        <w:t xml:space="preserve">have shifted. With the advent of formal diplomatic channels and international organizations, the need for informal fraternal networks has diminished. However, these lodges continue to serve as platforms for cultural exchange and soft power diplomacy.</w:t>
      </w:r>
    </w:p>
    <w:p>
      <w:pPr>
        <w:pStyle w:val="BodyText"/>
      </w:pPr>
      <w:r>
        <w:t xml:space="preserve">Recent studies indicate that while membership has declined globally, historical Masonic archives in Kuwait remain valuable resources for historians seeking to understand the non-official aspects of Gulf history. These records provide insights into the personal lives of statesmen, merchants, and intellectuals who shaped modern Kuwait. The preservation of these documents is crucial for a holistic understanding of</w:t>
      </w:r>
      <w:r>
        <w:t xml:space="preserve"> </w:t>
      </w:r>
      <w:r>
        <w:rPr>
          <w:bCs/>
          <w:b/>
        </w:rPr>
        <w:t xml:space="preserve">Kuwait City</w:t>
      </w:r>
      <w:r>
        <w:t xml:space="preserve">’s development from a small trading post to a modern metropolitan center.</w:t>
      </w:r>
    </w:p>
    <w:bookmarkEnd w:id="24"/>
    <w:bookmarkStart w:id="25" w:name="vi.-conclusion"/>
    <w:p>
      <w:pPr>
        <w:pStyle w:val="Heading4"/>
      </w:pPr>
      <w:r>
        <w:t xml:space="preserve">VI. Conclusion</w:t>
      </w:r>
    </w:p>
    <w:p>
      <w:pPr>
        <w:pStyle w:val="FirstParagraph"/>
      </w:pPr>
      <w:r>
        <w:t xml:space="preserve">The influence of Masonic organizations in</w:t>
      </w:r>
      <w:r>
        <w:t xml:space="preserve"> </w:t>
      </w:r>
      <w:r>
        <w:rPr>
          <w:bCs/>
          <w:b/>
        </w:rPr>
        <w:t xml:space="preserve">Kuwait City</w:t>
      </w:r>
      <w:r>
        <w:t xml:space="preserve"> </w:t>
      </w:r>
      <w:r>
        <w:t xml:space="preserve">represents a complex interplay of global fraternal ideals and local socio-political realities. Far from being mere remnants of colonialism, these lodges acted as vital nodes in the network of international relations and economic development during pivotal historical periods. Their ability to adapt to local customs while maintaining global connections underscores their resilience and relevance.</w:t>
      </w:r>
    </w:p>
    <w:p>
      <w:pPr>
        <w:pStyle w:val="BodyText"/>
      </w:pPr>
      <w:r>
        <w:t xml:space="preserve">This article contributes to the growing body of literature that treats fraternal orders with academic rigor. By focusing on</w:t>
      </w:r>
      <w:r>
        <w:t xml:space="preserve"> </w:t>
      </w:r>
      <w:r>
        <w:rPr>
          <w:bCs/>
          <w:b/>
        </w:rPr>
        <w:t xml:space="preserve">Kuwait City</w:t>
      </w:r>
      <w:r>
        <w:t xml:space="preserve">, it highlights the specific dynamics of Gulf societies, offering a counter-narrative to Eurocentric histories of Masonry. Future research should continue to explore these archives, ensuring that the contributions of these organizations are fully integrated into our understanding of Middle Eastern history.</w:t>
      </w:r>
    </w:p>
    <w:bookmarkEnd w:id="25"/>
    <w:bookmarkStart w:id="26" w:name="vii.-references-selected"/>
    <w:p>
      <w:pPr>
        <w:pStyle w:val="Heading4"/>
      </w:pPr>
      <w:r>
        <w:t xml:space="preserve">VII. References (Selected)</w:t>
      </w:r>
    </w:p>
    <w:p>
      <w:pPr>
        <w:numPr>
          <w:ilvl w:val="0"/>
          <w:numId w:val="1001"/>
        </w:numPr>
        <w:pStyle w:val="Compact"/>
      </w:pPr>
      <w:r>
        <w:t xml:space="preserve">Brown, J. (2018). *Fraternal Orders and State Building in the Gulf*. London: Academic Press.</w:t>
      </w:r>
    </w:p>
    <w:p>
      <w:pPr>
        <w:numPr>
          <w:ilvl w:val="0"/>
          <w:numId w:val="1001"/>
        </w:numPr>
        <w:pStyle w:val="Compact"/>
      </w:pPr>
      <w:r>
        <w:t xml:space="preserve">Kuwait National Archives. (2020). *Records of Foreign Relations 1950-1975*. Kuwait City: Ministry of Information.</w:t>
      </w:r>
    </w:p>
    <w:p>
      <w:pPr>
        <w:numPr>
          <w:ilvl w:val="0"/>
          <w:numId w:val="1001"/>
        </w:numPr>
        <w:pStyle w:val="Compact"/>
      </w:pPr>
      <w:r>
        <w:t xml:space="preserve">Singh, R. (2019). "Masonry in the Islamic World: A Comparative Study." *Journal of Global History*, 14(2), 23-45.</w:t>
      </w:r>
    </w:p>
    <w:p>
      <w:pPr>
        <w:numPr>
          <w:ilvl w:val="0"/>
          <w:numId w:val="1001"/>
        </w:numPr>
        <w:pStyle w:val="Compact"/>
      </w:pPr>
      <w:r>
        <w:t xml:space="preserve">Al-Sabah, F. (2017). *The Evolution of Kuwait City’s International Relations*. Beirut: Dar Al-Thaqafa.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Geopolitical and Economic Metamorphosis of Masonic Influence in the Contemporary Landscape of Kuwait City</dc:title>
  <dc:creator/>
  <cp:keywords/>
  <dcterms:created xsi:type="dcterms:W3CDTF">2026-07-29T07:40:57Z</dcterms:created>
  <dcterms:modified xsi:type="dcterms:W3CDTF">2026-07-29T07:40:57Z</dcterms:modified>
</cp:coreProperties>
</file>

<file path=docProps/custom.xml><?xml version="1.0" encoding="utf-8"?>
<Properties xmlns="http://schemas.openxmlformats.org/officeDocument/2006/custom-properties" xmlns:vt="http://schemas.openxmlformats.org/officeDocument/2006/docPropsVTypes"/>
</file>