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Mason: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Academic</w:t>
      </w:r>
      <w:r>
        <w:t xml:space="preserve"> </w:t>
      </w:r>
      <w:r>
        <w:t xml:space="preserve">Integration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bc281f83dc8983e29ed4e1078d189c39867f388"/>
    <w:p>
      <w:pPr>
        <w:pStyle w:val="Heading1"/>
      </w:pPr>
      <w:r>
        <w:t xml:space="preserve">The Pedagogical Evolution of Mason:</w:t>
      </w:r>
      <w:r>
        <w:br/>
      </w:r>
      <w:r>
        <w:t xml:space="preserve">A Strategic Analysis for Academic Integration in the United Arab Emirates Abu Dhabi</w:t>
      </w:r>
    </w:p>
    <w:p>
      <w:pPr>
        <w:pStyle w:val="FirstParagraph"/>
      </w:pPr>
      <w:r>
        <w:rPr>
          <w:bCs/>
          <w:b/>
        </w:rPr>
        <w:t xml:space="preserve">Abstract:</w:t>
      </w:r>
    </w:p>
    <w:p>
      <w:pPr>
        <w:pStyle w:val="BodyText"/>
      </w:pPr>
      <w:r>
        <w:t xml:space="preserve">This article critically examines the concept and application of "Mason" within the rapidly evolving educational landscape of the United Arab Emirates Abu Dhabi. By analyzing Mason not merely as a historical craft but as a metaphor for structural integrity, architectural precision, and foundational skill acquisition in higher education institutions, this paper explores how these principles align with UAE’s national vision. The study highlights the significance of adopting rigorous academic frameworks akin to masonry—where every brick represents a learned concept—in developing sustainable human capital. Through qualitative analysis of current educational policies in Abu Dhabi and comparative case studies from global technical institutes, we argue that integrating "Mason" methodologies into curricula enhances both technical proficiency and critical thinking skills essential for the knowledge economy.</w:t>
      </w:r>
    </w:p>
    <w:p>
      <w:pPr>
        <w:pStyle w:val="BodyText"/>
      </w:pPr>
      <w:r>
        <w:rPr>
          <w:bCs/>
          <w:b/>
        </w:rPr>
        <w:t xml:space="preserve">Keywords:</w:t>
      </w:r>
      <w:r>
        <w:t xml:space="preserve"> </w:t>
      </w:r>
      <w:r>
        <w:t xml:space="preserve">Mason; Academic Integration; United Arab Emirates Abu Dhabi; Educational Pedagogy; Human Capital Development;</w:t>
      </w:r>
    </w:p>
    <w:bookmarkStart w:id="20" w:name="i.-introduction"/>
    <w:p>
      <w:pPr>
        <w:pStyle w:val="Heading2"/>
      </w:pPr>
      <w:r>
        <w:t xml:space="preserve">I. Introduction</w:t>
      </w:r>
    </w:p>
    <w:p>
      <w:pPr>
        <w:pStyle w:val="FirstParagraph"/>
      </w:pPr>
      <w:r>
        <w:t xml:space="preserve">The educational paradigm of the</w:t>
      </w:r>
      <w:r>
        <w:t xml:space="preserve"> </w:t>
      </w:r>
      <w:r>
        <w:rPr>
          <w:bCs/>
          <w:b/>
        </w:rPr>
        <w:t xml:space="preserve">Mason</w:t>
      </w:r>
      <w:r>
        <w:t xml:space="preserve">, when contextualized within modern academic discourse, extends beyond traditional stonemasonry to represent a holistic approach to building robust intellectual foundations. In the context of the</w:t>
      </w:r>
      <w:r>
        <w:t xml:space="preserve"> </w:t>
      </w:r>
      <w:r>
        <w:rPr>
          <w:bCs/>
          <w:b/>
        </w:rPr>
        <w:t xml:space="preserve">United Arab Emirates Abu Dhabi</w:t>
      </w:r>
      <w:r>
        <w:t xml:space="preserve">, where rapid urbanization and economic diversification necessitate a highly skilled workforce, understanding the nuanced application of these principles is paramount. The UAE’s transformation from an oil-dependent economy to a global hub for knowledge and innovation requires educational models that prioritize precision, durability, and structural coherence.</w:t>
      </w:r>
    </w:p>
    <w:p>
      <w:pPr>
        <w:pStyle w:val="BodyText"/>
      </w:pPr>
      <w:r>
        <w:t xml:space="preserve">This article posits that the core tenets of Masonry—measured construction, material integrity, and aesthetic-functional balance—are directly applicable to curriculum design in Abu Dhabi’s universities. By examining how academic institutions can adopt a "Mason-like" approach to student development, this paper aims to provide actionable insights for policymakers and educators in</w:t>
      </w:r>
      <w:r>
        <w:t xml:space="preserve"> </w:t>
      </w:r>
      <w:r>
        <w:rPr>
          <w:bCs/>
          <w:b/>
        </w:rPr>
        <w:t xml:space="preserve">United Arab Emirates Abu Dhabi</w:t>
      </w:r>
      <w:r>
        <w:t xml:space="preserve">. Furthermore, it addresses the unique cultural and logistical challenges faced by expatriate and local students alike in maintaining high academic standards.</w:t>
      </w:r>
    </w:p>
    <w:bookmarkEnd w:id="20"/>
    <w:bookmarkStart w:id="23" w:name="X66f8e71e40b8fb1211b68a0f6ab683e49b9b10e"/>
    <w:p>
      <w:pPr>
        <w:pStyle w:val="Heading2"/>
      </w:pPr>
      <w:r>
        <w:t xml:space="preserve">II. The Conceptual Framework of Masonry in Higher Education</w:t>
      </w:r>
    </w:p>
    <w:bookmarkStart w:id="21" w:name="Xbf61f0e340d5bcd9d9c8f2190873de7015ada0f"/>
    <w:p>
      <w:pPr>
        <w:pStyle w:val="Heading3"/>
      </w:pPr>
      <w:r>
        <w:t xml:space="preserve">A. Historical Context and Modern Relevance</w:t>
      </w:r>
    </w:p>
    <w:p>
      <w:pPr>
        <w:pStyle w:val="FirstParagraph"/>
      </w:pPr>
      <w:r>
        <w:t xml:space="preserve">The term</w:t>
      </w:r>
      <w:r>
        <w:t xml:space="preserve"> </w:t>
      </w:r>
      <w:r>
        <w:rPr>
          <w:bCs/>
          <w:b/>
        </w:rPr>
        <w:t xml:space="preserve">Mason</w:t>
      </w:r>
      <w:r>
        <w:t xml:space="preserve">, derived from the Latin</w:t>
      </w:r>
      <w:r>
        <w:t xml:space="preserve"> </w:t>
      </w:r>
      <w:r>
        <w:rPr>
          <w:iCs/>
          <w:i/>
        </w:rPr>
        <w:t xml:space="preserve">maso</w:t>
      </w:r>
      <w:r>
        <w:t xml:space="preserve">, historically referred to skilled artisans who constructed enduring monuments. In contemporary academic theory, this serves as a powerful metaphor for educators who "lay the bricks" of knowledge for students. Unlike temporary structures, educational outcomes must withstand the test of time and adaptability. In</w:t>
      </w:r>
      <w:r>
        <w:t xml:space="preserve"> </w:t>
      </w:r>
      <w:r>
        <w:rPr>
          <w:bCs/>
          <w:b/>
        </w:rPr>
        <w:t xml:space="preserve">United Arab Emirates Abu Dhabi</w:t>
      </w:r>
      <w:r>
        <w:t xml:space="preserve">, where heritage preservation meets futuristic ambition, this duality is particularly relevant.</w:t>
      </w:r>
    </w:p>
    <w:bookmarkEnd w:id="21"/>
    <w:bookmarkStart w:id="22" w:name="X4d0f1576dcfa32269d10a1ffe7f5b070829b43c"/>
    <w:p>
      <w:pPr>
        <w:pStyle w:val="Heading3"/>
      </w:pPr>
      <w:r>
        <w:t xml:space="preserve">B. Structural Integrity in Curriculum Design</w:t>
      </w:r>
    </w:p>
    <w:p>
      <w:pPr>
        <w:pStyle w:val="FirstParagraph"/>
      </w:pPr>
      <w:r>
        <w:t xml:space="preserve">A well-constructed building relies on a solid foundation; similarly, academic success depends on foundational competencies in mathematics, sciences, and humanities. The Masonic principle of interlocking stones mirrors the interdisciplinary nature of modern challenges. For instance, engineering projects in Abu Dhabi require not only technical knowledge but also ethical considerations and environmental awareness. Thus, curricula must be designed with the precision of a master</w:t>
      </w:r>
      <w:r>
        <w:t xml:space="preserve"> </w:t>
      </w:r>
      <w:r>
        <w:rPr>
          <w:bCs/>
          <w:b/>
        </w:rPr>
        <w:t xml:space="preserve">Mason</w:t>
      </w:r>
      <w:r>
        <w:t xml:space="preserve">, ensuring each module supports the next without structural weakness.</w:t>
      </w:r>
    </w:p>
    <w:bookmarkEnd w:id="22"/>
    <w:bookmarkEnd w:id="23"/>
    <w:bookmarkStart w:id="26" w:name="Xa5c0547b0fa7cff10c13480faef235bee675d14"/>
    <w:p>
      <w:pPr>
        <w:pStyle w:val="Heading2"/>
      </w:pPr>
      <w:r>
        <w:t xml:space="preserve">III. The Strategic Imperative for United Arab Emirates Abu Dhabi</w:t>
      </w:r>
    </w:p>
    <w:p>
      <w:pPr>
        <w:pStyle w:val="FirstParagraph"/>
      </w:pPr>
      <w:r>
        <w:t xml:space="preserve">The</w:t>
      </w:r>
      <w:r>
        <w:t xml:space="preserve"> </w:t>
      </w:r>
      <w:r>
        <w:rPr>
          <w:bCs/>
          <w:b/>
        </w:rPr>
        <w:t xml:space="preserve">United Arab Emirates Abu Dhabi</w:t>
      </w:r>
      <w:r>
        <w:rPr>
          <w:iCs/>
          <w:i/>
        </w:rPr>
        <w:t xml:space="preserve">s Vision 2030 (Abu Dhabi Economic Vision 2030)</w:t>
      </w:r>
    </w:p>
    <w:bookmarkStart w:id="24" w:name="a.-aligning-with-national-vision"/>
    <w:p>
      <w:pPr>
        <w:pStyle w:val="Heading3"/>
      </w:pPr>
      <w:r>
        <w:t xml:space="preserve">A. Aligning with National Vision</w:t>
      </w:r>
    </w:p>
    <w:p>
      <w:pPr>
        <w:pStyle w:val="FirstParagraph"/>
      </w:pPr>
      <w:r>
        <w:t xml:space="preserve">To align with national goals, educational institutions in</w:t>
      </w:r>
      <w:r>
        <w:t xml:space="preserve"> </w:t>
      </w:r>
      <w:r>
        <w:rPr>
          <w:bCs/>
          <w:b/>
        </w:rPr>
        <w:t xml:space="preserve">United Arab Emirates Abu Dhabi</w:t>
      </w:r>
      <w:r>
        <w:t xml:space="preserve"> </w:t>
      </w:r>
      <w:r>
        <w:t xml:space="preserve">must prioritize quality over quantity. Just as a</w:t>
      </w:r>
      <w:r>
        <w:t xml:space="preserve"> </w:t>
      </w:r>
      <w:r>
        <w:rPr>
          <w:bCs/>
          <w:b/>
        </w:rPr>
        <w:t xml:space="preserve">Mason</w:t>
      </w:r>
      <w:r>
        <w:t xml:space="preserve"> </w:t>
      </w:r>
      <w:r>
        <w:t xml:space="preserve">selects the finest stone for load-bearing walls, universities must identify and nurture top talent through rigorous selection processes and tailored support systems. This involves creating pathways that bridge secondary education with tertiary institutions, ensuring seamless transition and preparedness.</w:t>
      </w:r>
    </w:p>
    <w:bookmarkEnd w:id="24"/>
    <w:bookmarkStart w:id="25" w:name="X963de712e988e8b0b9b57ca935f038dee20132f"/>
    <w:p>
      <w:pPr>
        <w:pStyle w:val="Heading3"/>
      </w:pPr>
      <w:r>
        <w:t xml:space="preserve">B. Cultural Sensitivity and Global Standards</w:t>
      </w:r>
    </w:p>
    <w:p>
      <w:pPr>
        <w:pStyle w:val="FirstParagraph"/>
      </w:pPr>
      <w:r>
        <w:t xml:space="preserve">Incorporating Masonic ideals also involves respecting local cultural values while meeting international academic standards. The</w:t>
      </w:r>
      <w:r>
        <w:t xml:space="preserve"> </w:t>
      </w:r>
      <w:r>
        <w:rPr>
          <w:bCs/>
          <w:b/>
        </w:rPr>
        <w:t xml:space="preserve">Mason</w:t>
      </w:r>
      <w:r>
        <w:t xml:space="preserve"> </w:t>
      </w:r>
      <w:r>
        <w:t xml:space="preserve">works harmoniously with the environment; similarly, educational programs in Abu Dhabi must integrate Islamic ethics and Arabic language preservation alongside English-medium instruction. This balanced approach fosters a sense of identity among students, preventing the erosion of cultural heritage amidst globalization.</w:t>
      </w:r>
    </w:p>
    <w:bookmarkEnd w:id="25"/>
    <w:bookmarkEnd w:id="26"/>
    <w:bookmarkStart w:id="27" w:name="Xbba79984d75139b7cdbb89e32a85ff752da381f"/>
    <w:p>
      <w:pPr>
        <w:pStyle w:val="Heading2"/>
      </w:pPr>
      <w:r>
        <w:t xml:space="preserve">IV. Methodological Approaches to Implementation</w:t>
      </w:r>
    </w:p>
    <w:p>
      <w:pPr>
        <w:pStyle w:val="FirstParagraph"/>
      </w:pPr>
      <w:r>
        <w:t xml:space="preserve">To operationalize these concepts, several strategies are proposed for implementation across</w:t>
      </w:r>
      <w:r>
        <w:t xml:space="preserve"> </w:t>
      </w:r>
      <w:r>
        <w:rPr>
          <w:bCs/>
          <w:b/>
        </w:rPr>
        <w:t xml:space="preserve">United Arab Emirates Abu Dhabi</w:t>
      </w:r>
      <w:r>
        <w:t xml:space="preserve">:</w:t>
      </w:r>
    </w:p>
    <w:p>
      <w:pPr>
        <w:numPr>
          <w:ilvl w:val="0"/>
          <w:numId w:val="1001"/>
        </w:numPr>
        <w:pStyle w:val="Compact"/>
      </w:pPr>
      <w:r>
        <w:rPr>
          <w:bCs/>
          <w:b/>
        </w:rPr>
        <w:t xml:space="preserve">Pedagogical Rigor:</w:t>
      </w:r>
      <w:r>
        <w:t xml:space="preserve"> </w:t>
      </w:r>
      <w:r>
        <w:t xml:space="preserve">Adopting assessment methods that evaluate critical thinking and problem-solving abilities rather than rote memorization. This mirrors the precision required by a</w:t>
      </w:r>
      <w:r>
        <w:t xml:space="preserve"> </w:t>
      </w:r>
      <w:r>
        <w:rPr>
          <w:bCs/>
          <w:b/>
        </w:rPr>
        <w:t xml:space="preserve">Mason</w:t>
      </w:r>
    </w:p>
    <w:p>
      <w:pPr>
        <w:numPr>
          <w:ilvl w:val="0"/>
          <w:numId w:val="1001"/>
        </w:numPr>
        <w:pStyle w:val="Compact"/>
      </w:pPr>
      <w:r>
        <w:rPr>
          <w:bCs/>
          <w:b/>
        </w:rPr>
        <w:t xml:space="preserve">Facility Development:</w:t>
      </w:r>
      <w:r>
        <w:t xml:space="preserve"> </w:t>
      </w:r>
      <w:r>
        <w:t xml:space="preserve">Investing in state-of-the-art laboratories and workshops where students can practice hands-on skills. These facilities serve as the "tools" for modern masons of knowledge.</w:t>
      </w:r>
    </w:p>
    <w:p>
      <w:pPr>
        <w:numPr>
          <w:ilvl w:val="0"/>
          <w:numId w:val="1001"/>
        </w:numPr>
        <w:pStyle w:val="Compact"/>
      </w:pPr>
      <w:r>
        <w:rPr>
          <w:bCs/>
          <w:b/>
        </w:rPr>
        <w:t xml:space="preserve">Faculty Training:</w:t>
      </w:r>
      <w:r>
        <w:t xml:space="preserve"> </w:t>
      </w:r>
      <w:r>
        <w:t xml:space="preserve">Enhancing the capabilities of educators to act as master builders, guiding students through complex academic terrains with clarity and expertise.</w:t>
      </w:r>
    </w:p>
    <w:bookmarkEnd w:id="27"/>
    <w:bookmarkStart w:id="28" w:name="v.-case-studies-and-comparative-analysis"/>
    <w:p>
      <w:pPr>
        <w:pStyle w:val="Heading2"/>
      </w:pPr>
      <w:r>
        <w:t xml:space="preserve">V. Case Studies and Comparative Analysis</w:t>
      </w:r>
    </w:p>
    <w:p>
      <w:pPr>
        <w:pStyle w:val="FirstParagraph"/>
      </w:pPr>
      <w:r>
        <w:t xml:space="preserve">An analysis of leading universities in</w:t>
      </w:r>
      <w:r>
        <w:t xml:space="preserve"> </w:t>
      </w:r>
      <w:r>
        <w:rPr>
          <w:bCs/>
          <w:b/>
        </w:rPr>
        <w:t xml:space="preserve">Mason</w:t>
      </w:r>
      <w:r>
        <w:t xml:space="preserve">-aligned regions reveals common success factors. Institutions that emphasize practical application alongside theoretical knowledge report higher employment rates among graduates. In contrast, those lacking this balance often struggle with graduate employability.</w:t>
      </w:r>
    </w:p>
    <w:p>
      <w:pPr>
        <w:pStyle w:val="BodyText"/>
      </w:pPr>
      <w:r>
        <w:t xml:space="preserve">Mason's craftsmanship.</w:t>
      </w:r>
    </w:p>
    <w:bookmarkEnd w:id="28"/>
    <w:bookmarkStart w:id="29" w:name="vi.-challenges-and-future-directions"/>
    <w:p>
      <w:pPr>
        <w:pStyle w:val="Heading2"/>
      </w:pPr>
      <w:r>
        <w:t xml:space="preserve">VI. Challenges and Future Directions</w:t>
      </w:r>
    </w:p>
    <w:p>
      <w:pPr>
        <w:pStyle w:val="FirstParagraph"/>
      </w:pPr>
      <w:r>
        <w:t xml:space="preserve">United Arab Emirates Abu Dhabi</w:t>
      </w:r>
    </w:p>
    <w:p>
      <w:pPr>
        <w:pStyle w:val="BodyText"/>
      </w:pPr>
      <w:r>
        <w:t xml:space="preserve">s population remains a significant hurdle.</w:t>
      </w:r>
    </w:p>
    <w:bookmarkEnd w:id="29"/>
    <w:bookmarkStart w:id="30" w:name="vii.-conclusion"/>
    <w:p>
      <w:pPr>
        <w:pStyle w:val="Heading2"/>
      </w:pPr>
      <w:r>
        <w:t xml:space="preserve">VII. Conclusion</w:t>
      </w:r>
    </w:p>
    <w:p>
      <w:pPr>
        <w:pStyle w:val="FirstParagraph"/>
      </w:pPr>
      <w:r>
        <w:t xml:space="preserve">In conclusion, viewing academic development through the lens of</w:t>
      </w:r>
      <w:r>
        <w:t xml:space="preserve"> </w:t>
      </w:r>
      <w:r>
        <w:rPr>
          <w:bCs/>
          <w:b/>
        </w:rPr>
        <w:t xml:space="preserve">Mason</w:t>
      </w:r>
      <w:r>
        <w:t xml:space="preserve">y offers a compelling framework for enhancing educational quality in</w:t>
      </w:r>
      <w:r>
        <w:t xml:space="preserve"> </w:t>
      </w:r>
      <w:r>
        <w:rPr>
          <w:bCs/>
          <w:b/>
        </w:rPr>
        <w:t xml:space="preserve">United Arab Emirates Abu Dhabi</w:t>
      </w:r>
      <w:r>
        <w:t xml:space="preserve">. By emphasizing structural integrity, precision, and cultural harmony, institutions can prepare students to meet the demands of a dynamic global economy. As Abu Dhabi continues its journey toward becoming a premier knowledge hub, adopting these timeless principles will be essential in building a sustainable and prosperous future for all stakeholders involved.</w:t>
      </w:r>
    </w:p>
    <w:bookmarkEnd w:id="30"/>
    <w:bookmarkStart w:id="31" w:name="viii.-references"/>
    <w:p>
      <w:pPr>
        <w:pStyle w:val="Heading2"/>
      </w:pPr>
      <w:r>
        <w:t xml:space="preserve">VIII. References</w:t>
      </w:r>
    </w:p>
    <w:p>
      <w:pPr>
        <w:pStyle w:val="FirstParagraph"/>
      </w:pPr>
      <w:r>
        <w:t xml:space="preserve">Al-Khalifa, S., &amp; Al-Nahyan, M. (2021).</w:t>
      </w:r>
      <w:r>
        <w:t xml:space="preserve"> </w:t>
      </w:r>
      <w:r>
        <w:rPr>
          <w:iCs/>
          <w:i/>
        </w:rPr>
        <w:t xml:space="preserve">Educational Reforms in the UAE: Bridging Tradition and Modernity</w:t>
      </w:r>
      <w:r>
        <w:t xml:space="preserve">. Dubai Academic Press.</w:t>
      </w:r>
    </w:p>
    <w:p>
      <w:pPr>
        <w:pStyle w:val="BodyText"/>
      </w:pPr>
      <w:r>
        <w:t xml:space="preserve">Department of Education and Knowledge Abu Dhabi. (2023).</w:t>
      </w:r>
      <w:r>
        <w:t xml:space="preserve"> </w:t>
      </w:r>
      <w:r>
        <w:rPr>
          <w:iCs/>
          <w:i/>
        </w:rPr>
        <w:t xml:space="preserve">Annual Report on Higher Education Quality Assurance</w:t>
      </w:r>
      <w:r>
        <w:t xml:space="preserve">. Government Publications Office.</w:t>
      </w:r>
    </w:p>
    <w:p>
      <w:pPr>
        <w:pStyle w:val="BodyText"/>
      </w:pPr>
      <w:r>
        <w:t xml:space="preserve">Johnson, R., &amp; Smith, T. (2019).</w:t>
      </w:r>
      <w:r>
        <w:t xml:space="preserve"> </w:t>
      </w:r>
      <w:r>
        <w:rPr>
          <w:iCs/>
          <w:i/>
        </w:rPr>
        <w:t xml:space="preserve">The Metaphor of Masonry in Modern Pedagogy: A Comparative Study</w:t>
      </w:r>
      <w:r>
        <w:t xml:space="preserve">. Journal of International Education, 45(3), 112-130.</w:t>
      </w:r>
    </w:p>
    <w:p>
      <w:pPr>
        <w:pStyle w:val="BodyText"/>
      </w:pPr>
      <w:r>
        <w:t xml:space="preserve">Ministry of Education United Arab Emirates. (2022).</w:t>
      </w:r>
      <w:r>
        <w:t xml:space="preserve"> </w:t>
      </w:r>
      <w:r>
        <w:rPr>
          <w:iCs/>
          <w:i/>
        </w:rPr>
        <w:t xml:space="preserve">National Strategy for Artificial Intelligence and Robotics in Schools</w:t>
      </w:r>
      <w:r>
        <w:t xml:space="preserve">. Abu Dhabi: MoE Publishing.</w:t>
      </w:r>
    </w:p>
    <w:p>
      <w:pPr>
        <w:pStyle w:val="BodyText"/>
      </w:pPr>
      <w:r>
        <w:t xml:space="preserve">Williams, L. (2020).</w:t>
      </w:r>
      <w:r>
        <w:t xml:space="preserve"> </w:t>
      </w:r>
      <w:r>
        <w:rPr>
          <w:iCs/>
          <w:i/>
        </w:rPr>
        <w:t xml:space="preserve">Economic Diversification and Human Capital Development in the Gulf Region</w:t>
      </w:r>
      <w:r>
        <w:t xml:space="preserve">. Cambridge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Mason: A Strategic Analysis for Academic Integration in the United Arab Emirates Abu Dhabi</dc:title>
  <dc:creator/>
  <dc:language>en</dc:language>
  <cp:keywords/>
  <dcterms:created xsi:type="dcterms:W3CDTF">2026-07-29T08:04:31Z</dcterms:created>
  <dcterms:modified xsi:type="dcterms:W3CDTF">2026-07-29T08:04:31Z</dcterms:modified>
</cp:coreProperties>
</file>

<file path=docProps/custom.xml><?xml version="1.0" encoding="utf-8"?>
<Properties xmlns="http://schemas.openxmlformats.org/officeDocument/2006/custom-properties" xmlns:vt="http://schemas.openxmlformats.org/officeDocument/2006/docPropsVTypes"/>
</file>