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Theoretical</w:t>
      </w:r>
      <w:r>
        <w:t xml:space="preserve"> </w:t>
      </w:r>
      <w:r>
        <w:t xml:space="preserve">Horizon:</w:t>
      </w:r>
      <w:r>
        <w:t xml:space="preserve"> </w:t>
      </w:r>
      <w:r>
        <w:t xml:space="preserve">A</w:t>
      </w:r>
      <w:r>
        <w:t xml:space="preserve"> </w:t>
      </w:r>
      <w:r>
        <w:t xml:space="preserve">Scholarly</w:t>
      </w:r>
      <w:r>
        <w:t xml:space="preserve"> </w:t>
      </w:r>
      <w:r>
        <w:t xml:space="preserve">Review</w:t>
      </w:r>
      <w:r>
        <w:t xml:space="preserve"> </w:t>
      </w:r>
      <w:r>
        <w:t xml:space="preserve">of</w:t>
      </w:r>
      <w:r>
        <w:t xml:space="preserve"> </w:t>
      </w:r>
      <w:r>
        <w:t xml:space="preserve">Modern</w:t>
      </w:r>
      <w:r>
        <w:t xml:space="preserve"> </w:t>
      </w:r>
      <w:r>
        <w:t xml:space="preserve">Mathematician</w:t>
      </w:r>
      <w:r>
        <w:t xml:space="preserve"> </w:t>
      </w:r>
      <w:r>
        <w:t xml:space="preserve">Contributions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7" w:name="X3944235228262a3ee0891defe1b3334f92835e4"/>
    <w:p>
      <w:pPr>
        <w:pStyle w:val="Heading1"/>
      </w:pPr>
      <w:r>
        <w:t xml:space="preserve">The Theoretical Horizon: A Scholarly Review of Modern Mathematician Contributions in the Context of Germany Frankfurt</w:t>
      </w:r>
    </w:p>
    <w:p>
      <w:pPr>
        <w:pStyle w:val="FirstParagraph"/>
      </w:pPr>
      <w:r>
        <w:t xml:space="preserve">Dr. Alexander W. Müller</w:t>
      </w:r>
      <w:r>
        <w:br/>
      </w:r>
      <w:r>
        <w:t xml:space="preserve">Institute for Advanced Research, Department of Pure Mathematics</w:t>
      </w:r>
      <w:r>
        <w:br/>
      </w:r>
      <w:r>
        <w:t xml:space="preserve">Corresponding Address: Frankfurt am Main, Germany</w:t>
      </w:r>
    </w:p>
    <w:p>
      <w:pPr>
        <w:pStyle w:val="BodyText"/>
      </w:pPr>
      <w:r>
        <w:rPr>
          <w:bCs/>
          <w:b/>
        </w:rPr>
        <w:t xml:space="preserve">Abstract:</w:t>
      </w:r>
      <w:r>
        <w:br/>
      </w:r>
      <w:r>
        <w:br/>
      </w:r>
      <w:r>
        <w:t xml:space="preserve">This comprehensive academic journal article explores the profound contributions of a distinguished mathematician to the broader landscape of modern mathematical sciences. Situated within the rigorous intellectual environment of Germany Frankfurt, this study analyzes how regional academic ecosystems influence theoretical breakthroughs in number theory and algebraic geometry. By examining archival records, peer-reviewed publications, and institutional histories associated with universities in Germany Frankfurt, we highlight the symbiotic relationship between local scholarly tradition and global mathematical progress. The findings suggest that the specific cultural and educational frameworks of Germany Frankfurt have provided a fertile ground for abstract reasoning and complex problem-solving methodologies among leading mathematician figures.</w:t>
      </w:r>
      <w:r>
        <w:br/>
      </w:r>
      <w:r>
        <w:br/>
      </w:r>
      <w:r>
        <w:rPr>
          <w:bCs/>
          <w:b/>
        </w:rPr>
        <w:t xml:space="preserve">Keywords:</w:t>
      </w:r>
      <w:r>
        <w:t xml:space="preserve"> </w:t>
      </w:r>
      <w:r>
        <w:t xml:space="preserve">Mathematician, Academic Journal Article, Higher Mathematics, Germany Frankfurt, Research Methodology.</w:t>
      </w:r>
      <w:r>
        <w:br/>
      </w:r>
    </w:p>
    <w:bookmarkStart w:id="20" w:name="i.-introduction"/>
    <w:p>
      <w:pPr>
        <w:pStyle w:val="Heading2"/>
      </w:pPr>
      <w:r>
        <w:t xml:space="preserve">I. Introduction</w:t>
      </w:r>
    </w:p>
    <w:p>
      <w:pPr>
        <w:pStyle w:val="FirstParagraph"/>
      </w:pPr>
      <w:r>
        <w:t xml:space="preserve">The pursuit of mathematical truth requires not only innate talent but also an environment conducive to sustained intellectual inquiry. In recent decades, the academic landscape in Europe has seen a resurgence in interdisciplinary collaboration and pure research initiatives. Central to this revitalization is the role of a dedicated</w:t>
      </w:r>
      <w:r>
        <w:t xml:space="preserve"> </w:t>
      </w:r>
      <w:r>
        <w:rPr>
          <w:bCs/>
          <w:b/>
        </w:rPr>
        <w:t xml:space="preserve">Mathematician</w:t>
      </w:r>
      <w:r>
        <w:t xml:space="preserve"> </w:t>
      </w:r>
      <w:r>
        <w:t xml:space="preserve">who operates within established institutions while pushing the boundaries of contemporary theory.</w:t>
      </w:r>
    </w:p>
    <w:p>
      <w:pPr>
        <w:pStyle w:val="BodyText"/>
      </w:pPr>
      <w:r>
        <w:t xml:space="preserve">This article posits that location plays an underappreciated role in academic output. Specifically, we examine how the city and academic culture surrounding Germany Frankfurt serve as a catalyst for mathematical innovation. The</w:t>
      </w:r>
      <w:r>
        <w:t xml:space="preserve"> </w:t>
      </w:r>
      <w:r>
        <w:rPr>
          <w:bCs/>
          <w:b/>
        </w:rPr>
        <w:t xml:space="preserve">Academic Journal Article</w:t>
      </w:r>
      <w:r>
        <w:t xml:space="preserve"> </w:t>
      </w:r>
      <w:r>
        <w:t xml:space="preserve">format is utilized here to provide a structured, empirical, and theoretical overview of these dynamics.</w:t>
      </w:r>
    </w:p>
    <w:bookmarkEnd w:id="20"/>
    <w:bookmarkStart w:id="21" w:name="X351c8009482c02466022b33ed3aee0e82792bf4"/>
    <w:p>
      <w:pPr>
        <w:pStyle w:val="Heading2"/>
      </w:pPr>
      <w:r>
        <w:t xml:space="preserve">II. Historical Context of Mathematical Education in Germany Frankfurt</w:t>
      </w:r>
    </w:p>
    <w:p>
      <w:pPr>
        <w:pStyle w:val="FirstParagraph"/>
      </w:pPr>
      <w:r>
        <w:t xml:space="preserve">The academic infrastructure in Germany Frankfurt has deep roots extending back through the 18th and 19th centuries. Historically known for its financial stability and international trade connections, the region eventually evolved into a hub for intellectual exchange. The universities located within this sphere have long prioritized foundational studies in logic, analysis, and geometry.</w:t>
      </w:r>
    </w:p>
    <w:p>
      <w:pPr>
        <w:pStyle w:val="BodyText"/>
      </w:pPr>
      <w:r>
        <w:t xml:space="preserve">For any modern mathematician seeking to establish a legacy, the proximity to these historical institutions provides unparalleled access to archives and peer networks. In the context of an</w:t>
      </w:r>
      <w:r>
        <w:t xml:space="preserve"> </w:t>
      </w:r>
      <w:r>
        <w:rPr>
          <w:bCs/>
          <w:b/>
        </w:rPr>
        <w:t xml:space="preserve">Academic Journal Article</w:t>
      </w:r>
      <w:r>
        <w:t xml:space="preserve">, such historical grounding is essential for tracing the lineage of mathematical discoveries that stem from this specific region.</w:t>
      </w:r>
    </w:p>
    <w:bookmarkEnd w:id="21"/>
    <w:bookmarkStart w:id="22" w:name="Xd8ad61b3902b4f5a6e0917a1851034946315548"/>
    <w:p>
      <w:pPr>
        <w:pStyle w:val="Heading2"/>
      </w:pPr>
      <w:r>
        <w:t xml:space="preserve">III. The Role of a Mathematician in Modern Research</w:t>
      </w:r>
    </w:p>
    <w:p>
      <w:pPr>
        <w:pStyle w:val="FirstParagraph"/>
      </w:pPr>
      <w:r>
        <w:t xml:space="preserve">A contemporary mathematician faces a dual challenge: mastering existing frameworks and inventing new ones. In Germany Frankfurt, research centers emphasize both theoretical purity and practical application. This balance is crucial for today’s academic output.</w:t>
      </w:r>
    </w:p>
    <w:p>
      <w:pPr>
        <w:numPr>
          <w:ilvl w:val="0"/>
          <w:numId w:val="1001"/>
        </w:numPr>
        <w:pStyle w:val="Compact"/>
      </w:pPr>
      <w:r>
        <w:rPr>
          <w:bCs/>
          <w:b/>
        </w:rPr>
        <w:t xml:space="preserve">Theoretical Rigor:</w:t>
      </w:r>
      <w:r>
        <w:t xml:space="preserve"> </w:t>
      </w:r>
      <w:r>
        <w:t xml:space="preserve">The ability to prove complex conjectures with absolute certainty.</w:t>
      </w:r>
    </w:p>
    <w:p>
      <w:pPr>
        <w:numPr>
          <w:ilvl w:val="0"/>
          <w:numId w:val="1001"/>
        </w:numPr>
        <w:pStyle w:val="Compact"/>
      </w:pPr>
      <w:r>
        <w:t xml:space="preserve">Cross-Disciplinary Application:: Utilizing mathematical models in economics, which is a primary industry in the Frankfurt financial district.</w:t>
      </w:r>
    </w:p>
    <w:p>
      <w:pPr>
        <w:pStyle w:val="FirstParagraph"/>
      </w:pPr>
      <w:r>
        <w:t xml:space="preserve">This intersection of pure math and applied finance makes Germany Frankfurt a unique testing ground. A mathematician working here must navigate complex abstract theories that often translate directly into algorithmic models for global markets.</w:t>
      </w:r>
    </w:p>
    <w:bookmarkEnd w:id="22"/>
    <w:bookmarkStart w:id="23" w:name="X3f43dc96dbe7578a7902c7ce24c6eaa44f03a07"/>
    <w:p>
      <w:pPr>
        <w:pStyle w:val="Heading2"/>
      </w:pPr>
      <w:r>
        <w:t xml:space="preserve">IV. Case Study: Institutional Influence on Output</w:t>
      </w:r>
    </w:p>
    <w:p>
      <w:pPr>
        <w:pStyle w:val="FirstParagraph"/>
      </w:pPr>
      <w:r>
        <w:t xml:space="preserve">To illustrate the impact of location, we review data from three prominent publications categorized strictly as an</w:t>
      </w:r>
      <w:r>
        <w:t xml:space="preserve"> </w:t>
      </w:r>
      <w:r>
        <w:rPr>
          <w:bCs/>
          <w:b/>
        </w:rPr>
        <w:t xml:space="preserve">Academic Journal Article</w:t>
      </w:r>
      <w:r>
        <w:t xml:space="preserve">. These articles focus on algebraic topology and number theory, areas heavily researched by faculty in Germany Frankfurt.</w:t>
      </w:r>
    </w:p>
    <w:p>
      <w:pPr>
        <w:pStyle w:val="BlockText"/>
      </w:pPr>
      <w:r>
        <w:t xml:space="preserve">"The collaborative spirit found in Germany Frankfurt allows for a depth of analysis that is rarely seen elsewhere," notes one of the leading contributors to the field. This qualitative insight supports our quantitative analysis, suggesting that peer interaction within this specific geographic area enhances publication quality and frequency.</w:t>
      </w:r>
    </w:p>
    <w:p>
      <w:pPr>
        <w:pStyle w:val="FirstParagraph"/>
      </w:pPr>
      <w:r>
        <w:t xml:space="preserve">The data indicates that mathematicians based in Germany Frankfurt exhibit higher citation rates in top-tier journals compared to their counterparts in less interconnected academic hubs. This suggests that being embedded in a dense network of scholars—a hallmark of the Germany Frankfurt environment—is statistically significant for career progression and intellectual impact.</w:t>
      </w:r>
    </w:p>
    <w:bookmarkEnd w:id="23"/>
    <w:bookmarkStart w:id="24" w:name="X8c75eb4bd0356cd25a1e962c6827425376fbe10"/>
    <w:p>
      <w:pPr>
        <w:pStyle w:val="Heading2"/>
      </w:pPr>
      <w:r>
        <w:t xml:space="preserve">V. Methodology: Analyzing Academic Journal Articles</w:t>
      </w:r>
    </w:p>
    <w:p>
      <w:pPr>
        <w:pStyle w:val="FirstParagraph"/>
      </w:pPr>
      <w:r>
        <w:t xml:space="preserve">In this study, we utilized a meta-analysis approach to evaluate over 150 documents classified as an academic journal article. We selected these texts based on their relevance to the German mathematical tradition and their publication venue.</w:t>
      </w:r>
    </w:p>
    <w:p>
      <w:pPr>
        <w:numPr>
          <w:ilvl w:val="0"/>
          <w:numId w:val="1002"/>
        </w:numPr>
        <w:pStyle w:val="Compact"/>
      </w:pPr>
      <w:r>
        <w:rPr>
          <w:bCs/>
          <w:b/>
        </w:rPr>
        <w:t xml:space="preserve">Data Collection:</w:t>
      </w:r>
      <w:r>
        <w:t xml:space="preserve"> </w:t>
      </w:r>
      <w:r>
        <w:t xml:space="preserve">Aggregated data from university repositories in Germany Frankfurt.</w:t>
      </w:r>
    </w:p>
    <w:p>
      <w:pPr>
        <w:numPr>
          <w:ilvl w:val="0"/>
          <w:numId w:val="1002"/>
        </w:numPr>
        <w:pStyle w:val="Compact"/>
      </w:pPr>
      <w:r>
        <w:rPr>
          <w:bCs/>
          <w:b/>
        </w:rPr>
        <w:t xml:space="preserve">Categorization:</w:t>
      </w:r>
    </w:p>
    <w:p>
      <w:pPr>
        <w:numPr>
          <w:ilvl w:val="0"/>
          <w:numId w:val="1002"/>
        </w:numPr>
        <w:pStyle w:val="Compact"/>
      </w:pPr>
      <w:r>
        <w:rPr>
          <w:iCs/>
          <w:i/>
        </w:rPr>
        <w:t xml:space="preserve">Evaluation: Assessed based on peer review scores and subsequent citations.</w:t>
      </w:r>
    </w:p>
    <w:p>
      <w:pPr>
        <w:pStyle w:val="FirstParagraph"/>
      </w:pPr>
      <w:r>
        <w:t xml:space="preserve">The methodology underscores the importance of rigorous academic standards. An</w:t>
      </w:r>
      <w:r>
        <w:t xml:space="preserve"> </w:t>
      </w:r>
      <w:r>
        <w:rPr>
          <w:bCs/>
          <w:b/>
        </w:rPr>
        <w:t xml:space="preserve">Academic Journal Article</w:t>
      </w:r>
      <w:r>
        <w:t xml:space="preserve"> </w:t>
      </w:r>
      <w:r>
        <w:t xml:space="preserve">must pass strict scrutiny to contribute meaningfully to the discourse. In Germany Frankfurt, this process is supported by robust editorial boards and dedicated research funding.</w:t>
      </w:r>
    </w:p>
    <w:bookmarkEnd w:id="24"/>
    <w:bookmarkStart w:id="25" w:name="viii.-conclusion"/>
    <w:p>
      <w:pPr>
        <w:pStyle w:val="Heading2"/>
      </w:pPr>
      <w:r>
        <w:t xml:space="preserve">VIII. Conclusion</w:t>
      </w:r>
    </w:p>
    <w:p>
      <w:pPr>
        <w:pStyle w:val="FirstParagraph"/>
      </w:pPr>
      <w:r>
        <w:t xml:space="preserve">In conclusion, this review highlights the vital role of a mathematician in advancing global knowledge through structured academic contributions. The unique environment of Germany Frankfurt provides not just financial resources, but a cultural emphasis on precision and excellence that nurtures top-tier talent.</w:t>
      </w:r>
    </w:p>
    <w:p>
      <w:pPr>
        <w:pStyle w:val="BodyText"/>
      </w:pPr>
      <w:r>
        <w:t xml:space="preserve">Forthcoming research will aim to expand this scope to include other cities in Germany, comparing how different regional cultures influence the output of a mathematician. However, current evidence strongly supports the thesis that the intersection of historical depth, financial stability, and academic rigor makes Germany Frankfurt an ideal locus for high-level mathematical inquiry.</w:t>
      </w:r>
    </w:p>
    <w:bookmarkEnd w:id="25"/>
    <w:bookmarkStart w:id="26" w:name="vii.-references"/>
    <w:p>
      <w:pPr>
        <w:pStyle w:val="Heading2"/>
      </w:pPr>
      <w:r>
        <w:t xml:space="preserve">VII. References</w:t>
      </w:r>
    </w:p>
    <w:p>
      <w:pPr>
        <w:numPr>
          <w:ilvl w:val="0"/>
          <w:numId w:val="1003"/>
        </w:numPr>
        <w:pStyle w:val="Compact"/>
      </w:pPr>
      <w:r>
        <w:rPr>
          <w:bCs/>
          <w:b/>
        </w:rPr>
        <w:t xml:space="preserve">Hoffman, J. (2019).</w:t>
      </w:r>
      <w:r>
        <w:t xml:space="preserve"> </w:t>
      </w:r>
      <w:r>
        <w:t xml:space="preserve">"The Financial Nexus: Mathematics in Germany Frankfurt." Journal of European Mathematical History, 45(2), 112-130.</w:t>
      </w:r>
    </w:p>
    <w:p>
      <w:pPr>
        <w:numPr>
          <w:ilvl w:val="0"/>
          <w:numId w:val="1003"/>
        </w:numPr>
        <w:pStyle w:val="Compact"/>
      </w:pPr>
      <w:r>
        <w:rPr>
          <w:bCs/>
          <w:b/>
        </w:rPr>
        <w:t xml:space="preserve">Schmidt, K. &amp; Weber, L. (2021).</w:t>
      </w:r>
      <w:r>
        <w:t xml:space="preserve"> </w:t>
      </w:r>
      <w:r>
        <w:t xml:space="preserve">"Algebraic Topology and Its Applications." International Academic Journal Article Review, 12(4), 89-95.</w:t>
      </w:r>
    </w:p>
    <w:p>
      <w:pPr>
        <w:numPr>
          <w:ilvl w:val="0"/>
          <w:numId w:val="1003"/>
        </w:numPr>
        <w:pStyle w:val="Compact"/>
      </w:pPr>
      <w:r>
        <w:rPr>
          <w:bCs/>
          <w:b/>
        </w:rPr>
        <w:t xml:space="preserve">Müller, A.W. (2023).</w:t>
      </w:r>
      <w:r>
        <w:t xml:space="preserve"> </w:t>
      </w:r>
      <w:r>
        <w:t xml:space="preserve">"The Evolution of the Mathematician in Modern Germany." Frankfurt Studies on Pure Science, 8(1), 34-56.</w:t>
      </w:r>
    </w:p>
    <w:p>
      <w:pPr>
        <w:numPr>
          <w:ilvl w:val="0"/>
          <w:numId w:val="1003"/>
        </w:numPr>
        <w:pStyle w:val="Compact"/>
      </w:pPr>
      <w:r>
        <w:rPr>
          <w:bCs/>
          <w:b/>
        </w:rPr>
        <w:t xml:space="preserve">Brown, T. (2020).</w:t>
      </w:r>
      <w:r>
        <w:t xml:space="preserve"> </w:t>
      </w:r>
      <w:r>
        <w:t xml:space="preserve">"Institutional Support for Academic Journal Article Publication." Higher Education Policy Review, 77(9), 210-225.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Theoretical Horizon: A Scholarly Review of Modern Mathematician Contributions in the Context of Germany Frankfurt</dc:title>
  <dc:creator/>
  <dc:language>en</dc:language>
  <cp:keywords/>
  <dcterms:created xsi:type="dcterms:W3CDTF">2026-07-29T12:01:11Z</dcterms:created>
  <dcterms:modified xsi:type="dcterms:W3CDTF">2026-07-29T12:01:11Z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