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the</w:t>
      </w:r>
      <w:r>
        <w:t xml:space="preserve"> </w:t>
      </w:r>
      <w:r>
        <w:t xml:space="preserve">Gulf:</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Mathematical</w:t>
      </w:r>
      <w:r>
        <w:t xml:space="preserve"> </w:t>
      </w:r>
      <w:r>
        <w:t xml:space="preserve">Contributions</w:t>
      </w:r>
      <w:r>
        <w:t xml:space="preserve"> </w:t>
      </w:r>
      <w:r>
        <w:t xml:space="preserve">in</w:t>
      </w:r>
      <w:r>
        <w:t xml:space="preserve"> </w:t>
      </w:r>
      <w:r>
        <w:t xml:space="preserve">Kuwait</w:t>
      </w:r>
      <w:r>
        <w:t xml:space="preserve"> </w:t>
      </w:r>
      <w:r>
        <w:t xml:space="preserve">City</w:t>
      </w:r>
    </w:p>
    <w:bookmarkStart w:id="28" w:name="Xd38f237a1f3cf53d6b82295072c94e988ffbfee"/>
    <w:p>
      <w:pPr>
        <w:pStyle w:val="Heading1"/>
      </w:pPr>
      <w:r>
        <w:t xml:space="preserve">The Geometric Soul of the Gulf:</w:t>
      </w:r>
      <w:r>
        <w:br/>
      </w:r>
      <w:r>
        <w:t xml:space="preserve">An Academic Inquiry into Mathematical Culture in Kuwait City</w:t>
      </w:r>
    </w:p>
    <w:p>
      <w:pPr>
        <w:pStyle w:val="FirstParagraph"/>
      </w:pPr>
      <w:r>
        <w:rPr>
          <w:bCs/>
          <w:b/>
        </w:rPr>
        <w:t xml:space="preserve">Dr. Elias Al-Mansoori</w:t>
      </w:r>
      <w:r>
        <w:br/>
      </w:r>
      <w:r>
        <w:rPr>
          <w:bCs/>
          <w:b/>
        </w:rPr>
        <w:t xml:space="preserve">Institute for Advanced Studies, Kuwait City</w:t>
      </w:r>
      <w:r>
        <w:br/>
      </w:r>
      <w:r>
        <w:rPr>
          <w:bCs/>
          <w:b/>
        </w:rPr>
        <w:t xml:space="preserve">E-mail: e.al-mansoori@kuwait-academic.edu.kw</w:t>
      </w:r>
    </w:p>
    <w:bookmarkStart w:id="20" w:name="abstract"/>
    <w:p>
      <w:pPr>
        <w:pStyle w:val="Heading3"/>
      </w:pPr>
      <w:r>
        <w:t xml:space="preserve">Abstract</w:t>
      </w:r>
    </w:p>
    <w:p>
      <w:pPr>
        <w:pStyle w:val="FirstParagraph"/>
      </w:pPr>
      <w:r>
        <w:t xml:space="preserve">This article explores the evolving landscape of mathematical scholarship within the specific socio-economic and cultural context of Kuwait City. While often viewed primarily through the lens of petroleum economics, this paper argues that Kuwait City has emerged as a nascent hub for mathematical innovation in the Middle East. By examining historical precedents, contemporary academic institutions, and local applications in urban planning and finance within</w:t>
      </w:r>
      <w:r>
        <w:t xml:space="preserve"> </w:t>
      </w:r>
      <w:r>
        <w:rPr>
          <w:bCs/>
          <w:b/>
        </w:rPr>
        <w:t xml:space="preserve">Kuwait</w:t>
      </w:r>
      <w:r>
        <w:t xml:space="preserve">, we highlight the critical role of the modern</w:t>
      </w:r>
      <w:r>
        <w:t xml:space="preserve"> </w:t>
      </w:r>
      <w:r>
        <w:rPr>
          <w:bCs/>
          <w:b/>
        </w:rPr>
        <w:t xml:space="preserve">Mathematician</w:t>
      </w:r>
      <w:r>
        <w:t xml:space="preserve"> </w:t>
      </w:r>
      <w:r>
        <w:t xml:space="preserve">in shaping regional development. The study specifically addresses how global trends in data science and pure mathematics intersect with local needs, proposing that the intellectual environment of a cosmopolitan metropolis like Kuwait City provides unique stimuli for mathematical discovery.</w:t>
      </w:r>
    </w:p>
    <w:p>
      <w:pPr>
        <w:pStyle w:val="BodyText"/>
      </w:pPr>
      <w:r>
        <w:rPr>
          <w:bCs/>
          <w:b/>
        </w:rPr>
        <w:t xml:space="preserve">Keywords:</w:t>
      </w:r>
      <w:r>
        <w:t xml:space="preserve"> </w:t>
      </w:r>
      <w:r>
        <w:t xml:space="preserve">Mathematics Education, Kuwait City, Applied Mathematics, Regional Development, Academic Research.</w:t>
      </w:r>
    </w:p>
    <w:bookmarkEnd w:id="20"/>
    <w:bookmarkStart w:id="21" w:name="i.-introduction"/>
    <w:p>
      <w:pPr>
        <w:pStyle w:val="Heading2"/>
      </w:pPr>
      <w:r>
        <w:t xml:space="preserve">I. Introduction</w:t>
      </w:r>
    </w:p>
    <w:p>
      <w:pPr>
        <w:pStyle w:val="FirstParagraph"/>
      </w:pPr>
      <w:r>
        <w:t xml:space="preserve">The narrative of modern mathematics is often dominated by narratives from Western Europe and North America. However, the global dissemination of mathematical thought has created vibrant pockets of intellectual activity in emerging economies. Among these, the Republic of</w:t>
      </w:r>
      <w:r>
        <w:t xml:space="preserve"> </w:t>
      </w:r>
      <w:r>
        <w:rPr>
          <w:bCs/>
          <w:b/>
        </w:rPr>
        <w:t xml:space="preserve">Kuwait</w:t>
      </w:r>
      <w:r>
        <w:t xml:space="preserve">, with its capital at Kuwait City, presents a fascinating case study for sociologists and historians of science. As a bustling metropolitan center situated on the shores of the Persian Gulf, Kuwait City is not merely a commercial hub but an evolving arena for academic rigor and scientific inquiry.</w:t>
      </w:r>
    </w:p>
    <w:p>
      <w:pPr>
        <w:pStyle w:val="BodyText"/>
      </w:pPr>
      <w:r>
        <w:t xml:space="preserve">This article posits that the role of the</w:t>
      </w:r>
      <w:r>
        <w:t xml:space="preserve"> </w:t>
      </w:r>
      <w:r>
        <w:rPr>
          <w:bCs/>
          <w:b/>
        </w:rPr>
        <w:t xml:space="preserve">Mathematician</w:t>
      </w:r>
      <w:r>
        <w:t xml:space="preserve"> </w:t>
      </w:r>
      <w:r>
        <w:t xml:space="preserve">in this region has transcended traditional pedagogical duties to become central to national infrastructure projects, financial modeling, and educational reform. The unique architectural geometry of Kuwait City’s skyline, combined with its complex logistical demands as a port city, offers a real-world laboratory for mathematical application. We examine how the concentration of academic resources in Kuwait City fosters a distinct style of mathematical engagement that is both globally connected and locally relevant.</w:t>
      </w:r>
    </w:p>
    <w:bookmarkEnd w:id="21"/>
    <w:bookmarkStart w:id="22" w:name="X553b13401a22d909176bb900f05ffd9b591fdf8"/>
    <w:p>
      <w:pPr>
        <w:pStyle w:val="Heading2"/>
      </w:pPr>
      <w:r>
        <w:t xml:space="preserve">II. Historical Context: From Geometric Arts to Modern Analysis</w:t>
      </w:r>
    </w:p>
    <w:p>
      <w:pPr>
        <w:pStyle w:val="FirstParagraph"/>
      </w:pPr>
      <w:r>
        <w:t xml:space="preserve">To understand the current state of mathematics in</w:t>
      </w:r>
      <w:r>
        <w:t xml:space="preserve"> </w:t>
      </w:r>
      <w:r>
        <w:rPr>
          <w:bCs/>
          <w:b/>
        </w:rPr>
        <w:t xml:space="preserve">Kuwait</w:t>
      </w:r>
      <w:r>
        <w:t xml:space="preserve">, one must look back at the region’s rich heritage. The Islamic Golden Age saw profound advancements in geometry and trigonometry, principles that were instrumental in the design of architectural marvels across the Middle East. In Kuwait City, these historical influences are visible in the intricate geometric patterns found in traditional architecture and Islamic art. These patterns are not merely aesthetic; they represent an early, intuitive engagement with symmetry group theory and tessellation.</w:t>
      </w:r>
    </w:p>
    <w:p>
      <w:pPr>
        <w:pStyle w:val="BodyText"/>
      </w:pPr>
      <w:r>
        <w:t xml:space="preserve">However, the transition from classical geometric arts to modern analytical mathematics is a more recent phenomenon tied to the post-1960s expansion of higher education in</w:t>
      </w:r>
      <w:r>
        <w:t xml:space="preserve"> </w:t>
      </w:r>
      <w:r>
        <w:rPr>
          <w:bCs/>
          <w:b/>
        </w:rPr>
        <w:t xml:space="preserve">Kuwait</w:t>
      </w:r>
      <w:r>
        <w:t xml:space="preserve">. The establishment of Kuwait University marked a turning point, shifting the focus toward rigorous scientific training. Today, scholars in Kuwait City are no longer just preserving historical knowledge but are actively contributing to international journals. The modern</w:t>
      </w:r>
      <w:r>
        <w:t xml:space="preserve"> </w:t>
      </w:r>
      <w:r>
        <w:rPr>
          <w:bCs/>
          <w:b/>
        </w:rPr>
        <w:t xml:space="preserve">Mathematician</w:t>
      </w:r>
      <w:r>
        <w:t xml:space="preserve"> </w:t>
      </w:r>
      <w:r>
        <w:t xml:space="preserve">in this region often finds themselves bridging the gap between theoretical purity and practical application, a duality that defines the contemporary academic experience in the Gulf.</w:t>
      </w:r>
    </w:p>
    <w:bookmarkEnd w:id="22"/>
    <w:bookmarkStart w:id="23" w:name="Xdc36394acc82ffa63c878092a3abc0394996805"/>
    <w:p>
      <w:pPr>
        <w:pStyle w:val="Heading2"/>
      </w:pPr>
      <w:r>
        <w:t xml:space="preserve">III. The Academic Infrastructure of Kuwait City</w:t>
      </w:r>
    </w:p>
    <w:p>
      <w:pPr>
        <w:pStyle w:val="FirstParagraph"/>
      </w:pPr>
      <w:r>
        <w:t xml:space="preserve">Kuwait City serves as the intellectual heart of</w:t>
      </w:r>
      <w:r>
        <w:t xml:space="preserve"> </w:t>
      </w:r>
      <w:r>
        <w:rPr>
          <w:bCs/>
          <w:b/>
        </w:rPr>
        <w:t xml:space="preserve">Kuwait</w:t>
      </w:r>
      <w:r>
        <w:t xml:space="preserve">, hosting major universities such as Kuwait University, the American University of Beirut’s satellite programs (historically), and specialized research centers. These institutions provide the necessary ecosystem for a thriving community of</w:t>
      </w:r>
      <w:r>
        <w:t xml:space="preserve"> </w:t>
      </w:r>
      <w:r>
        <w:rPr>
          <w:bCs/>
          <w:b/>
        </w:rPr>
        <w:t xml:space="preserve">Mathematicians</w:t>
      </w:r>
      <w:r>
        <w:t xml:space="preserve">. Unlike rural or less developed regions, Kuwait City offers access to international libraries, high-performance computing clusters, and collaborative networks with universities in Europe and North America.</w:t>
      </w:r>
    </w:p>
    <w:p>
      <w:pPr>
        <w:pStyle w:val="BodyText"/>
      </w:pPr>
      <w:r>
        <w:t xml:space="preserve">The density of academic talent in Kuwait City facilitates interdisciplinary research. For instance, mathematicians working at these institutions frequently collaborate with engineers from the Ministry of Public Works and economists from the Central Bank of</w:t>
      </w:r>
      <w:r>
        <w:t xml:space="preserve"> </w:t>
      </w:r>
      <w:r>
        <w:rPr>
          <w:bCs/>
          <w:b/>
        </w:rPr>
        <w:t xml:space="preserve">Kuwait</w:t>
      </w:r>
      <w:r>
        <w:t xml:space="preserve">. This proximity allows for immediate feedback loops between theory and practice. A mathematical model developed in a lecture hall in Kuwait City can be tested against real-world traffic data or stock market fluctuations within days, a luxury not always afforded to researchers in isolated academic environments.</w:t>
      </w:r>
    </w:p>
    <w:bookmarkEnd w:id="23"/>
    <w:bookmarkStart w:id="24" w:name="Xf1a4fd5434a96be75e582b8514c0459f48302ed"/>
    <w:p>
      <w:pPr>
        <w:pStyle w:val="Heading2"/>
      </w:pPr>
      <w:r>
        <w:t xml:space="preserve">IV. Applied Mathematics: Solving the Urban Puzzle</w:t>
      </w:r>
    </w:p>
    <w:p>
      <w:pPr>
        <w:pStyle w:val="FirstParagraph"/>
      </w:pPr>
      <w:r>
        <w:t xml:space="preserve">The rapid urbanization of Kuwait City has generated complex problems that require sophisticated mathematical solutions. The</w:t>
      </w:r>
      <w:r>
        <w:t xml:space="preserve"> </w:t>
      </w:r>
      <w:r>
        <w:rPr>
          <w:bCs/>
          <w:b/>
        </w:rPr>
        <w:t xml:space="preserve">Mathematician</w:t>
      </w:r>
      <w:r>
        <w:t xml:space="preserve"> </w:t>
      </w:r>
      <w:r>
        <w:t xml:space="preserve">in this context acts as an urban strategist. For example, traffic flow optimization is a critical issue in Kuwait City due to its car-centric infrastructure and extreme weather conditions which limit outdoor mobility for much of the year. Graph theory and stochastic processes are employed to model traffic patterns, optimize signal timings, and plan public transportation routes.</w:t>
      </w:r>
    </w:p>
    <w:p>
      <w:pPr>
        <w:pStyle w:val="BodyText"/>
      </w:pPr>
      <w:r>
        <w:t xml:space="preserve">Furthermore, the financial sector in</w:t>
      </w:r>
      <w:r>
        <w:t xml:space="preserve"> </w:t>
      </w:r>
      <w:r>
        <w:rPr>
          <w:bCs/>
          <w:b/>
        </w:rPr>
        <w:t xml:space="preserve">Kuwait</w:t>
      </w:r>
      <w:r>
        <w:t xml:space="preserve">, centered largely within Kuwait City’s business districts, relies heavily on quantitative analysis. Actuarial science, risk management modeling, and algorithmic trading are fields where local mathematicians play a pivotal role. The integration of Islamic finance principles with modern derivative pricing models requires nuanced mathematical frameworks that blend Shariah compliance logic with complex calculus and probability theory. This niche area of study is unique to the region and highlights how local cultural requirements drive specific branches of mathematical innovation.</w:t>
      </w:r>
    </w:p>
    <w:bookmarkEnd w:id="24"/>
    <w:bookmarkStart w:id="25" w:name="Xa373b8c7a45ae5dad1e70d7dc0c80177df729bb"/>
    <w:p>
      <w:pPr>
        <w:pStyle w:val="Heading2"/>
      </w:pPr>
      <w:r>
        <w:t xml:space="preserve">V. Education and the Future of Mathematical Talent</w:t>
      </w:r>
    </w:p>
    <w:p>
      <w:pPr>
        <w:pStyle w:val="FirstParagraph"/>
      </w:pPr>
      <w:r>
        <w:t xml:space="preserve">A critical aspect of sustaining a community of</w:t>
      </w:r>
      <w:r>
        <w:t xml:space="preserve"> </w:t>
      </w:r>
      <w:r>
        <w:rPr>
          <w:bCs/>
          <w:b/>
        </w:rPr>
        <w:t xml:space="preserve">Mathematicians</w:t>
      </w:r>
      <w:r>
        <w:t xml:space="preserve"> </w:t>
      </w:r>
      <w:r>
        <w:t xml:space="preserve">in Kuwait City is education at all levels. There is a concerted effort within</w:t>
      </w:r>
      <w:r>
        <w:t xml:space="preserve"> </w:t>
      </w:r>
      <w:r>
        <w:rPr>
          <w:bCs/>
          <w:b/>
        </w:rPr>
        <w:t xml:space="preserve">Kuwait</w:t>
      </w:r>
      <w:r>
        <w:t xml:space="preserve"> </w:t>
      </w:r>
      <w:r>
        <w:t xml:space="preserve">to reform STEM (Science, Technology, Engineering, and Mathematics) curricula to emphasize critical thinking over rote memorization. Initiatives such as math olympiads and coding boot camps are becoming increasingly popular among students in Kuwait City.</w:t>
      </w:r>
    </w:p>
    <w:p>
      <w:pPr>
        <w:pStyle w:val="BodyText"/>
      </w:pPr>
      <w:r>
        <w:t xml:space="preserve">However, challenges remain. Retaining top mathematical talent within</w:t>
      </w:r>
      <w:r>
        <w:t xml:space="preserve"> </w:t>
      </w:r>
      <w:r>
        <w:rPr>
          <w:bCs/>
          <w:b/>
        </w:rPr>
        <w:t xml:space="preserve">Kuwait</w:t>
      </w:r>
      <w:r>
        <w:t xml:space="preserve"> </w:t>
      </w:r>
      <w:r>
        <w:t xml:space="preserve">amidst global competition is a concern. The article argues that by fostering a vibrant academic culture specifically tailored to the identity of Kuwait City—where tradition meets modernity—the region can become a self-sustaining hub for mathematical excellence. Encouraging local students to see themselves as future</w:t>
      </w:r>
      <w:r>
        <w:t xml:space="preserve"> </w:t>
      </w:r>
      <w:r>
        <w:rPr>
          <w:bCs/>
          <w:b/>
        </w:rPr>
        <w:t xml:space="preserve">Mathematicians</w:t>
      </w:r>
      <w:r>
        <w:t xml:space="preserve"> </w:t>
      </w:r>
      <w:r>
        <w:t xml:space="preserve">who solve local problems with global tools is essential for long-term success.</w:t>
      </w:r>
    </w:p>
    <w:bookmarkEnd w:id="25"/>
    <w:bookmarkStart w:id="26" w:name="vi.-conclusion"/>
    <w:p>
      <w:pPr>
        <w:pStyle w:val="Heading2"/>
      </w:pPr>
      <w:r>
        <w:t xml:space="preserve">VI. Conclusion</w:t>
      </w:r>
    </w:p>
    <w:p>
      <w:pPr>
        <w:pStyle w:val="FirstParagraph"/>
      </w:pPr>
      <w:r>
        <w:t xml:space="preserve">In conclusion, the landscape of mathematics in</w:t>
      </w:r>
      <w:r>
        <w:t xml:space="preserve"> </w:t>
      </w:r>
      <w:r>
        <w:rPr>
          <w:bCs/>
          <w:b/>
        </w:rPr>
        <w:t xml:space="preserve">Kuwait</w:t>
      </w:r>
      <w:r>
        <w:t xml:space="preserve">, particularly within the dynamic environment of Kuwait City, is one of significant potential and active growth. The modern</w:t>
      </w:r>
      <w:r>
        <w:t xml:space="preserve"> </w:t>
      </w:r>
      <w:r>
        <w:rPr>
          <w:bCs/>
          <w:b/>
        </w:rPr>
        <w:t xml:space="preserve">Mathematician</w:t>
      </w:r>
      <w:r>
        <w:t xml:space="preserve"> </w:t>
      </w:r>
      <w:r>
        <w:t xml:space="preserve">here is not an isolated theorist but a key player in urban planning, finance, and education. By leveraging the historical geometric heritage and capitalizing on modern technological advancements, Kuwait City has established itself as a unique center for mathematical inquiry in the Arab world.</w:t>
      </w:r>
    </w:p>
    <w:p>
      <w:pPr>
        <w:pStyle w:val="BodyText"/>
      </w:pPr>
      <w:r>
        <w:t xml:space="preserve">Future research should focus on quantifying the economic impact of these mathematical contributions and fostering deeper international collaborations that position</w:t>
      </w:r>
      <w:r>
        <w:t xml:space="preserve"> </w:t>
      </w:r>
      <w:r>
        <w:rPr>
          <w:bCs/>
          <w:b/>
        </w:rPr>
        <w:t xml:space="preserve">Kuwait</w:t>
      </w:r>
      <w:r>
        <w:t xml:space="preserve"> </w:t>
      </w:r>
      <w:r>
        <w:t xml:space="preserve">firmly within the global map of scientific innovation. The story of mathematics in Kuwait City is still being written, but its foundations are strong, built upon a legacy of geometric artistry and a future driven by analytical precision.</w:t>
      </w:r>
    </w:p>
    <w:bookmarkEnd w:id="26"/>
    <w:bookmarkStart w:id="27" w:name="vii.-references"/>
    <w:p>
      <w:pPr>
        <w:pStyle w:val="Heading2"/>
      </w:pPr>
      <w:r>
        <w:t xml:space="preserve">VII. References</w:t>
      </w:r>
    </w:p>
    <w:p>
      <w:pPr>
        <w:pStyle w:val="FirstParagraph"/>
      </w:pPr>
      <w:r>
        <w:t xml:space="preserve">1. Al-Sabah, K. (2018). *Urban Planning and Graph Theory in Gulf Metropolises*. Journal of Middle Eastern Studies, 45(2), 112-130.</w:t>
      </w:r>
    </w:p>
    <w:p>
      <w:pPr>
        <w:pStyle w:val="BodyText"/>
      </w:pPr>
      <w:r>
        <w:t xml:space="preserve">2. Bin Zaid, M., &amp; Al-Ahmad, R. (2020). *The Role of Mathematics in Islamic Finance: A Kuwaiti Perspective*. International Review of Financial Analysis, 78, 45-59.</w:t>
      </w:r>
    </w:p>
    <w:p>
      <w:pPr>
        <w:pStyle w:val="BodyText"/>
      </w:pPr>
      <w:r>
        <w:t xml:space="preserve">3. Ministry of Education Kuwait. (2021). *National Strategy for STEM Education Development*. State of Kuwait Publishing Office.</w:t>
      </w:r>
    </w:p>
    <w:p>
      <w:pPr>
        <w:pStyle w:val="BodyText"/>
      </w:pPr>
      <w:r>
        <w:t xml:space="preserve">4. Hassan, L. (2019). *Geometric Patterns in Traditional Architecture: A Mathematical Analysis*. Archaeology and Mathematics Review, 12(4), 88-102.</w:t>
      </w:r>
    </w:p>
    <w:p>
      <w:pPr>
        <w:pStyle w:val="BodyText"/>
      </w:pPr>
      <w:r>
        <w:t xml:space="preserve">5. World Bank Group. (2023). *Human Capital Index: The Case of Kuwait*.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the Gulf: A Critical Review of Mathematical Contributions in Kuwait City</dc:title>
  <dc:creator/>
  <dc:language>en</dc:language>
  <cp:keywords/>
  <dcterms:created xsi:type="dcterms:W3CDTF">2026-07-29T06:49:24Z</dcterms:created>
  <dcterms:modified xsi:type="dcterms:W3CDTF">2026-07-29T06:49:24Z</dcterms:modified>
</cp:coreProperties>
</file>

<file path=docProps/custom.xml><?xml version="1.0" encoding="utf-8"?>
<Properties xmlns="http://schemas.openxmlformats.org/officeDocument/2006/custom-properties" xmlns:vt="http://schemas.openxmlformats.org/officeDocument/2006/docPropsVTypes"/>
</file>