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Mathematicians</w:t>
      </w:r>
      <w:r>
        <w:t xml:space="preserve"> </w:t>
      </w:r>
      <w:r>
        <w:t xml:space="preserve">in</w:t>
      </w:r>
      <w:r>
        <w:t xml:space="preserve"> </w:t>
      </w:r>
      <w:r>
        <w:t xml:space="preserve">Saudi</w:t>
      </w:r>
      <w:r>
        <w:t xml:space="preserve"> </w:t>
      </w:r>
      <w:r>
        <w:t xml:space="preserve">Arabia</w:t>
      </w:r>
      <w:r>
        <w:t xml:space="preserve"> </w:t>
      </w:r>
      <w:r>
        <w:t xml:space="preserve">Riyadh's</w:t>
      </w:r>
      <w:r>
        <w:t xml:space="preserve"> </w:t>
      </w:r>
      <w:r>
        <w:t xml:space="preserve">Vision</w:t>
      </w:r>
      <w:r>
        <w:t xml:space="preserve"> </w:t>
      </w:r>
      <w:r>
        <w:t xml:space="preserve">2030</w:t>
      </w:r>
    </w:p>
    <w:bookmarkStart w:id="31" w:name="X2d3dac920af2de186e7fb208b9ca40e0b5cae0e"/>
    <w:p>
      <w:pPr>
        <w:pStyle w:val="Heading1"/>
      </w:pPr>
      <w:r>
        <w:t xml:space="preserve">The Convergence of Tradition and Innovation: The Role of Mathematicians in Saudi Arabia Riyadh's Vision 2030</w:t>
      </w:r>
    </w:p>
    <w:p>
      <w:pPr>
        <w:pStyle w:val="FirstParagraph"/>
      </w:pPr>
      <w:r>
        <w:rPr>
          <w:bCs/>
          <w:b/>
        </w:rPr>
        <w:t xml:space="preserve">Sector:</w:t>
      </w:r>
      <w:r>
        <w:t xml:space="preserve"> </w:t>
      </w:r>
      <w:r>
        <w:t xml:space="preserve">Academic Mathematics &amp; Strategic Development</w:t>
      </w:r>
      <w:r>
        <w:br/>
      </w:r>
      <w:r>
        <w:rPr>
          <w:bCs/>
          <w:b/>
        </w:rPr>
        <w:t xml:space="preserve">Date:</w:t>
      </w:r>
      <w:r>
        <w:t xml:space="preserve"> </w:t>
      </w:r>
      <w:r>
        <w:t xml:space="preserve">October 2023</w:t>
      </w:r>
      <w:r>
        <w:br/>
      </w:r>
      <w:r>
        <w:rPr>
          <w:iCs/>
          <w:i/>
        </w:rPr>
        <w:t xml:space="preserve">This article is prepared for academic distribution within the Kingdom of Saudi Arabia, specifically targeting institutions in Riyadh.</w:t>
      </w:r>
    </w:p>
    <w:bookmarkStart w:id="20" w:name="abstract"/>
    <w:p>
      <w:pPr>
        <w:pStyle w:val="Heading3"/>
      </w:pPr>
      <w:r>
        <w:rPr>
          <w:bCs/>
          <w:b/>
        </w:rPr>
        <w:t xml:space="preserve">Abstract</w:t>
      </w:r>
    </w:p>
    <w:p>
      <w:pPr>
        <w:pStyle w:val="FirstParagraph"/>
      </w:pPr>
      <w:r>
        <w:t xml:space="preserve">This paper examines the evolving landscape of mathematical research and its application within the capital city of Saudi Arabia Riyadh. As part of the broader Vision 2030 initiative, there is a strategic pivot toward knowledge-based economies, positioning Mathematics as a foundational pillar for technological advancement. We analyze how Mathematicians in Riyadh are bridging classical Islamic geometric traditions with modern computational methods, data science, and artificial intelligence. The study highlights key institutions such as King Saud University and KAUST (though located near Jeddah, its influence is national), local tech hubs, and government initiatives that foster an environment where mathematical rigor drives economic diversification.</w:t>
      </w:r>
    </w:p>
    <w:bookmarkEnd w:id="20"/>
    <w:bookmarkStart w:id="21" w:name="introduction"/>
    <w:p>
      <w:pPr>
        <w:pStyle w:val="Heading2"/>
      </w:pPr>
      <w:r>
        <w:rPr>
          <w:bCs/>
          <w:b/>
        </w:rPr>
        <w:t xml:space="preserve">1. Introduction</w:t>
      </w:r>
    </w:p>
    <w:p>
      <w:pPr>
        <w:pStyle w:val="FirstParagraph"/>
      </w:pPr>
      <w:r>
        <w:t xml:space="preserve">In the heart of the Arabian Peninsula, Riyadh stands not only as the political and administrative capital of Saudi Arabia but increasingly as a burgeoning hub for scientific inquiry and intellectual development. Historically, while many regions contributed to the golden age of Islamic mathematics, modern efforts in</w:t>
      </w:r>
      <w:r>
        <w:t xml:space="preserve"> </w:t>
      </w:r>
      <w:r>
        <w:rPr>
          <w:bCs/>
          <w:b/>
        </w:rPr>
        <w:t xml:space="preserve">Saudi Arabia Riyadh</w:t>
      </w:r>
      <w:r>
        <w:t xml:space="preserve"> </w:t>
      </w:r>
      <w:r>
        <w:t xml:space="preserve">are now re-establishing global relevance in this field. This article explores how contemporary</w:t>
      </w:r>
      <w:r>
        <w:t xml:space="preserve"> </w:t>
      </w:r>
      <w:r>
        <w:rPr>
          <w:bCs/>
          <w:b/>
        </w:rPr>
        <w:t xml:space="preserve">Mathematicians</w:t>
      </w:r>
      <w:r>
        <w:t xml:space="preserve"> </w:t>
      </w:r>
      <w:r>
        <w:t xml:space="preserve">operating within Riyadh are navigating the intersection of heritage and future-facing technology.</w:t>
      </w:r>
    </w:p>
    <w:p>
      <w:pPr>
        <w:pStyle w:val="BodyText"/>
      </w:pPr>
      <w:r>
        <w:t xml:space="preserve">The significance of this transition cannot be overstated. For decades, the economy of Saudi Arabia was predominantly anchored in hydrocarbon resources. However, under the directives of Vision 2030, the Kingdom has committed to diversifying its economic base through sectors such as healthcare, infrastructure development, renewable energy, and digital technology. At the core of all these sectors lies mathematics. From optimizing traffic flow in a megacity like Riyadh to modeling complex biological systems for healthcare innovations, the role of a</w:t>
      </w:r>
      <w:r>
        <w:t xml:space="preserve"> </w:t>
      </w:r>
      <w:r>
        <w:rPr>
          <w:bCs/>
          <w:b/>
        </w:rPr>
        <w:t xml:space="preserve">Mathematician</w:t>
      </w:r>
      <w:r>
        <w:t xml:space="preserve"> </w:t>
      </w:r>
      <w:r>
        <w:t xml:space="preserve">has shifted from theoretical abstraction to practical societal application.</w:t>
      </w:r>
    </w:p>
    <w:bookmarkEnd w:id="21"/>
    <w:bookmarkStart w:id="22" w:name="historical-context-and-modern-revival"/>
    <w:p>
      <w:pPr>
        <w:pStyle w:val="Heading2"/>
      </w:pPr>
      <w:r>
        <w:rPr>
          <w:bCs/>
          <w:b/>
        </w:rPr>
        <w:t xml:space="preserve">2. Historical Context and Modern Revival</w:t>
      </w:r>
    </w:p>
    <w:p>
      <w:pPr>
        <w:pStyle w:val="FirstParagraph"/>
      </w:pPr>
      <w:r>
        <w:t xml:space="preserve">To understand the current trajectory of mathematics in Riyadh, one must acknowledge the historical legacy of mathematical thought in the Arab world. Algorithms, algebra, and trigonometry have roots deeply embedded in Islamic scholarship. Today’s</w:t>
      </w:r>
      <w:r>
        <w:t xml:space="preserve"> </w:t>
      </w:r>
      <w:r>
        <w:rPr>
          <w:bCs/>
          <w:b/>
        </w:rPr>
        <w:t xml:space="preserve">Mathematicians</w:t>
      </w:r>
      <w:r>
        <w:t xml:space="preserve"> </w:t>
      </w:r>
      <w:r>
        <w:t xml:space="preserve">in Saudi Arabia Riyadh are drawing upon this rich heritage while engaging with global academic standards. The city is witnessing a resurgence of interest in pure mathematics as well as applied mathematics.</w:t>
      </w:r>
    </w:p>
    <w:p>
      <w:pPr>
        <w:pStyle w:val="BodyText"/>
      </w:pPr>
      <w:r>
        <w:t xml:space="preserve">Institutions within Riyadh, including the Mathematics and Statistics Department at King Saud University, have expanded their research capabilities significantly. Funding has been directed toward high-performance computing centers that allow local researchers to tackle large-scale problems previously inaccessible due to computational limitations. This infrastructure development is critical for a</w:t>
      </w:r>
      <w:r>
        <w:t xml:space="preserve"> </w:t>
      </w:r>
      <w:r>
        <w:rPr>
          <w:bCs/>
          <w:b/>
        </w:rPr>
        <w:t xml:space="preserve">Mathematician</w:t>
      </w:r>
      <w:r>
        <w:t xml:space="preserve"> </w:t>
      </w:r>
      <w:r>
        <w:t xml:space="preserve">working in fields such as cryptography, financial modeling, and climate simulation.</w:t>
      </w:r>
    </w:p>
    <w:bookmarkEnd w:id="22"/>
    <w:bookmarkStart w:id="26" w:name="Xda47e5a885ac39c803b98e5cc189e05d070017f"/>
    <w:p>
      <w:pPr>
        <w:pStyle w:val="Heading2"/>
      </w:pPr>
      <w:r>
        <w:rPr>
          <w:bCs/>
          <w:b/>
        </w:rPr>
        <w:t xml:space="preserve">3. Key Areas of Mathematical Application in Riyadh</w:t>
      </w:r>
    </w:p>
    <w:p>
      <w:pPr>
        <w:pStyle w:val="FirstParagraph"/>
      </w:pPr>
      <w:r>
        <w:t xml:space="preserve">The integration of mathematics into the daily functioning and future planning of Riyadh is evident across several domains:</w:t>
      </w:r>
    </w:p>
    <w:bookmarkStart w:id="23" w:name="a.-urban-planning-and-smart-cities"/>
    <w:p>
      <w:pPr>
        <w:pStyle w:val="Heading3"/>
      </w:pPr>
      <w:r>
        <w:rPr>
          <w:bCs/>
          <w:b/>
        </w:rPr>
        <w:t xml:space="preserve">A. Urban Planning and Smart Cities</w:t>
      </w:r>
    </w:p>
    <w:p>
      <w:pPr>
        <w:pStyle w:val="FirstParagraph"/>
      </w:pPr>
      <w:r>
        <w:t xml:space="preserve">Riyadh is undergoing massive transformation, including projects like The Line in NEOM (though geographically distinct, its logistical models impact national infrastructure) and the expansion of existing metropolitan areas.</w:t>
      </w:r>
      <w:r>
        <w:t xml:space="preserve"> </w:t>
      </w:r>
      <w:r>
        <w:rPr>
          <w:bCs/>
          <w:b/>
        </w:rPr>
        <w:t xml:space="preserve">Mathematicians</w:t>
      </w:r>
      <w:r>
        <w:t xml:space="preserve"> </w:t>
      </w:r>
      <w:r>
        <w:t xml:space="preserve">utilize graph theory, optimization algorithms, and stochastic processes to design efficient public transportation networks. In a city experiencing rapid population growth, these mathematical models are essential for reducing congestion and ensuring sustainable urban development.</w:t>
      </w:r>
    </w:p>
    <w:bookmarkEnd w:id="23"/>
    <w:bookmarkStart w:id="24" w:name="X8af34c17dc6fd3350a774df7f98bd56fc35f5bc"/>
    <w:p>
      <w:pPr>
        <w:pStyle w:val="Heading3"/>
      </w:pPr>
      <w:r>
        <w:rPr>
          <w:bCs/>
          <w:b/>
        </w:rPr>
        <w:t xml:space="preserve">B. Data Science and Artificial Intelligence</w:t>
      </w:r>
    </w:p>
    <w:p>
      <w:pPr>
        <w:pStyle w:val="FirstParagraph"/>
      </w:pPr>
      <w:r>
        <w:t xml:space="preserve">The Saudi Data and AI Authority (SDAIA) is headquartered in Riyadh, marking a significant milestone for data-driven governance.</w:t>
      </w:r>
      <w:r>
        <w:t xml:space="preserve"> </w:t>
      </w:r>
      <w:r>
        <w:rPr>
          <w:bCs/>
          <w:b/>
        </w:rPr>
        <w:t xml:space="preserve">Mathematicians</w:t>
      </w:r>
      <w:r>
        <w:t xml:space="preserve"> </w:t>
      </w:r>
      <w:r>
        <w:t xml:space="preserve">work closely with computer scientists to develop machine learning models that predict economic trends, manage public health responses, and optimize energy consumption. The theoretical underpinnings of AI—linear algebra, probability theory, and calculus—are applied directly by mathematicians to ensure the accuracy and ethical deployment of these technologies.</w:t>
      </w:r>
    </w:p>
    <w:bookmarkEnd w:id="24"/>
    <w:bookmarkStart w:id="25" w:name="c.-healthcare-and-bioinformatics"/>
    <w:p>
      <w:pPr>
        <w:pStyle w:val="Heading3"/>
      </w:pPr>
      <w:r>
        <w:rPr>
          <w:bCs/>
          <w:b/>
        </w:rPr>
        <w:t xml:space="preserve">C. Healthcare and Bioinformatics</w:t>
      </w:r>
    </w:p>
    <w:p>
      <w:pPr>
        <w:pStyle w:val="FirstParagraph"/>
      </w:pPr>
      <w:r>
        <w:t xml:space="preserve">In Riyadh’s advanced medical centers, mathematicians contribute to bioinformatics by analyzing genomic data. Differential equations are used to model the spread of diseases, while statistical methods aid in clinical trial design. This interdisciplinary approach demonstrates how a</w:t>
      </w:r>
      <w:r>
        <w:t xml:space="preserve"> </w:t>
      </w:r>
      <w:r>
        <w:rPr>
          <w:bCs/>
          <w:b/>
        </w:rPr>
        <w:t xml:space="preserve">Mathematician</w:t>
      </w:r>
      <w:r>
        <w:t xml:space="preserve"> </w:t>
      </w:r>
      <w:r>
        <w:t xml:space="preserve">in Saudi Arabia Riyadh is not confined to academia but plays a vital role in public health strategy.</w:t>
      </w:r>
    </w:p>
    <w:bookmarkEnd w:id="25"/>
    <w:bookmarkEnd w:id="26"/>
    <w:bookmarkStart w:id="27" w:name="education-and-talent-development"/>
    <w:p>
      <w:pPr>
        <w:pStyle w:val="Heading2"/>
      </w:pPr>
      <w:r>
        <w:rPr>
          <w:bCs/>
          <w:b/>
        </w:rPr>
        <w:t xml:space="preserve">4. Education and Talent Development</w:t>
      </w:r>
    </w:p>
    <w:p>
      <w:pPr>
        <w:pStyle w:val="FirstParagraph"/>
      </w:pPr>
      <w:r>
        <w:t xml:space="preserve">A sustainable ecosystem for mathematics requires robust educational pipelines. In Riyadh, there is a concerted effort to encourage students, particularly women and youth, to pursue careers in STEM (Science, Technology, Engineering, and Mathematics). Scholarships funded by the Royal Saudi Culture Mission are enabling thousands of Saudi students to study pure and applied mathematics at top-tier universities abroad.</w:t>
      </w:r>
    </w:p>
    <w:p>
      <w:pPr>
        <w:pStyle w:val="BodyText"/>
      </w:pPr>
      <w:r>
        <w:t xml:space="preserve">Upon returning these experts bring back specialized knowledge that enriches local research communities. Furthermore, collaborations between Riyadh-based universities and international institutions facilitate knowledge transfer. These partnerships ensure that</w:t>
      </w:r>
      <w:r>
        <w:t xml:space="preserve"> </w:t>
      </w:r>
      <w:r>
        <w:rPr>
          <w:bCs/>
          <w:b/>
        </w:rPr>
        <w:t xml:space="preserve">Mathematicians</w:t>
      </w:r>
      <w:r>
        <w:t xml:space="preserve"> </w:t>
      </w:r>
      <w:r>
        <w:t xml:space="preserve">in the Kingdom remain at the forefront of global developments, whether in number theory, topology, or mathematical physics.</w:t>
      </w:r>
    </w:p>
    <w:bookmarkEnd w:id="27"/>
    <w:bookmarkStart w:id="28" w:name="challenges-and-opportunities"/>
    <w:p>
      <w:pPr>
        <w:pStyle w:val="Heading2"/>
      </w:pPr>
      <w:r>
        <w:rPr>
          <w:bCs/>
          <w:b/>
        </w:rPr>
        <w:t xml:space="preserve">5. Challenges and Opportunities</w:t>
      </w:r>
    </w:p>
    <w:p>
      <w:pPr>
        <w:pStyle w:val="FirstParagraph"/>
      </w:pPr>
      <w:r>
        <w:t xml:space="preserve">Despite rapid progress, challenges remain. There is a need for increased industry-academia collaboration to ensure that academic research addresses real-world industrial problems effectively. Additionally, attracting and retaining top global talent in Riyadh requires competitive research funding and world-class facilities.</w:t>
      </w:r>
    </w:p>
    <w:p>
      <w:pPr>
        <w:pStyle w:val="BodyText"/>
      </w:pPr>
      <w:r>
        <w:t xml:space="preserve">However, the opportunities outweigh the challenges. The National Strategy for Data and AI, along with investments in quantum computing research positions Saudi Arabia as a potential leader in next-generation computational mathematics. For any</w:t>
      </w:r>
      <w:r>
        <w:t xml:space="preserve"> </w:t>
      </w:r>
      <w:r>
        <w:rPr>
          <w:bCs/>
          <w:b/>
        </w:rPr>
        <w:t xml:space="preserve">Mathematician</w:t>
      </w:r>
      <w:r>
        <w:t xml:space="preserve">, Riyadh offers a unique environment where traditional values meet futuristic ambitions.</w:t>
      </w:r>
    </w:p>
    <w:bookmarkEnd w:id="28"/>
    <w:bookmarkStart w:id="30" w:name="conclusion"/>
    <w:p>
      <w:pPr>
        <w:pStyle w:val="Heading2"/>
      </w:pPr>
      <w:r>
        <w:rPr>
          <w:bCs/>
          <w:b/>
        </w:rPr>
        <w:t xml:space="preserve">6. Conclusion</w:t>
      </w:r>
    </w:p>
    <w:p>
      <w:pPr>
        <w:pStyle w:val="FirstParagraph"/>
      </w:pPr>
      <w:r>
        <w:t xml:space="preserve">The narrative of mathematics in Saudi Arabia is being rewritten today, with Riyadh at the epicenter. The role of the</w:t>
      </w:r>
      <w:r>
        <w:t xml:space="preserve"> </w:t>
      </w:r>
      <w:r>
        <w:rPr>
          <w:bCs/>
          <w:b/>
        </w:rPr>
        <w:t xml:space="preserve">Mathematician</w:t>
      </w:r>
      <w:r>
        <w:t xml:space="preserve"> </w:t>
      </w:r>
      <w:r>
        <w:t xml:space="preserve">has expanded from solitary theorist to collaborative problem-solver, integral to the nation's transformation under Vision 2030. By leveraging historical strengths and investing in modern infrastructure, Saudi Arabia Riyadh is cultivating a generation of mathematicians who are equipped to solve complex global challenges.</w:t>
      </w:r>
    </w:p>
    <w:p>
      <w:pPr>
        <w:pStyle w:val="BodyText"/>
      </w:pPr>
      <w:r>
        <w:t xml:space="preserve">As we look toward the future, it is clear that mathematics will remain the silent engine driving innovation across sectors in Riyadh. The continued support for mathematical research, education, and application will ensure that Saudi Arabia not only participates in but contributes significantly to the global scientific community. For scholars and practitioners alike, this represents an exciting era of discovery and impact.</w:t>
      </w:r>
    </w:p>
    <w:p>
      <w:r>
        <w:pict>
          <v:rect style="width:0;height:1.5pt" o:hralign="center" o:hrstd="t" o:hr="t"/>
        </w:pict>
      </w:r>
    </w:p>
    <w:bookmarkStart w:id="29" w:name="references"/>
    <w:p>
      <w:pPr>
        <w:pStyle w:val="Heading3"/>
      </w:pPr>
      <w:r>
        <w:rPr>
          <w:bCs/>
          <w:b/>
        </w:rPr>
        <w:t xml:space="preserve">References</w:t>
      </w:r>
    </w:p>
    <w:p>
      <w:pPr>
        <w:numPr>
          <w:ilvl w:val="0"/>
          <w:numId w:val="1001"/>
        </w:numPr>
        <w:pStyle w:val="Compact"/>
      </w:pPr>
      <w:r>
        <w:t xml:space="preserve">Kingdom of Saudi Arabia. (2016). Vision 2030 Framework.</w:t>
      </w:r>
    </w:p>
    <w:p>
      <w:pPr>
        <w:numPr>
          <w:ilvl w:val="0"/>
          <w:numId w:val="1001"/>
        </w:numPr>
        <w:pStyle w:val="Compact"/>
      </w:pPr>
      <w:r>
        <w:t xml:space="preserve">Saudi Data and AI Authority. (2023). National Strategy for Data &amp; AI.</w:t>
      </w:r>
    </w:p>
    <w:p>
      <w:pPr>
        <w:numPr>
          <w:ilvl w:val="0"/>
          <w:numId w:val="1001"/>
        </w:numPr>
        <w:pStyle w:val="Compact"/>
      </w:pPr>
      <w:r>
        <w:t xml:space="preserve">King Saud University. (2023). Annual Research Report in Mathematics and Statistics.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Role of Mathematicians in Saudi Arabia Riyadh's Vision 2030</dc:title>
  <dc:creator/>
  <dc:language>en</dc:language>
  <cp:keywords/>
  <dcterms:created xsi:type="dcterms:W3CDTF">2026-07-29T09:39:31Z</dcterms:created>
  <dcterms:modified xsi:type="dcterms:W3CDTF">2026-07-29T09:39:31Z</dcterms:modified>
</cp:coreProperties>
</file>

<file path=docProps/custom.xml><?xml version="1.0" encoding="utf-8"?>
<Properties xmlns="http://schemas.openxmlformats.org/officeDocument/2006/custom-properties" xmlns:vt="http://schemas.openxmlformats.org/officeDocument/2006/docPropsVTypes"/>
</file>