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Academic</w:t>
      </w:r>
      <w:r>
        <w:t xml:space="preserve"> </w:t>
      </w:r>
      <w:r>
        <w:t xml:space="preserve">Landscape</w:t>
      </w:r>
      <w:r>
        <w:t xml:space="preserve"> </w:t>
      </w:r>
      <w:r>
        <w:t xml:space="preserve">of</w:t>
      </w:r>
      <w:r>
        <w:t xml:space="preserve"> </w:t>
      </w:r>
      <w:r>
        <w:t xml:space="preserve">South</w:t>
      </w:r>
      <w:r>
        <w:t xml:space="preserve"> </w:t>
      </w:r>
      <w:r>
        <w:t xml:space="preserve">Korea</w:t>
      </w:r>
      <w:r>
        <w:t xml:space="preserve"> </w:t>
      </w:r>
      <w:r>
        <w:t xml:space="preserve">Seoul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Impact of the Mathematician in the Academic Landscape of South Korea Seoul</dc:title>
  <dc:creator/>
  <dc:language>en</dc:language>
  <cp:keywords/>
  <dcterms:created xsi:type="dcterms:W3CDTF">2026-09-26T22:03:57Z</dcterms:created>
  <dcterms:modified xsi:type="dcterms:W3CDTF">2026-09-26T22:03:57Z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