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Chicago</w:t>
      </w:r>
      <w:r>
        <w:t xml:space="preserve"> </w:t>
      </w:r>
      <w:r>
        <w:t xml:space="preserve">School</w:t>
      </w:r>
      <w:r>
        <w:t xml:space="preserve"> </w:t>
      </w:r>
      <w:r>
        <w:t xml:space="preserve">of</w:t>
      </w:r>
      <w:r>
        <w:t xml:space="preserve"> </w:t>
      </w:r>
      <w:r>
        <w:t xml:space="preserve">Analysis:</w:t>
      </w:r>
      <w:r>
        <w:t xml:space="preserve"> </w:t>
      </w:r>
      <w:r>
        <w:t xml:space="preserve">A</w:t>
      </w:r>
      <w:r>
        <w:t xml:space="preserve"> </w:t>
      </w:r>
      <w:r>
        <w:t xml:space="preserve">Historical</w:t>
      </w:r>
      <w:r>
        <w:t xml:space="preserve"> </w:t>
      </w:r>
      <w:r>
        <w:t xml:space="preserve">and</w:t>
      </w:r>
      <w:r>
        <w:t xml:space="preserve"> </w:t>
      </w:r>
      <w:r>
        <w:t xml:space="preserve">Mathematical</w:t>
      </w:r>
      <w:r>
        <w:t xml:space="preserve"> </w:t>
      </w:r>
      <w:r>
        <w:t xml:space="preserve">Perspective</w:t>
      </w:r>
    </w:p>
    <w:bookmarkStart w:id="27" w:name="Xcd71547c5afb6913cf052195050dc35e74fcab8"/>
    <w:p>
      <w:pPr>
        <w:pStyle w:val="Heading1"/>
      </w:pPr>
      <w:r>
        <w:t xml:space="preserve">The Chicago School of Analysis: A Historical and Mathematical Perspective</w:t>
      </w:r>
    </w:p>
    <w:p>
      <w:pPr>
        <w:pStyle w:val="FirstParagraph"/>
      </w:pPr>
      <w:r>
        <w:rPr>
          <w:bCs/>
          <w:b/>
        </w:rPr>
        <w:t xml:space="preserve">Dr. Alexander J. Sterling</w:t>
      </w:r>
    </w:p>
    <w:p>
      <w:pPr>
        <w:pStyle w:val="BodyText"/>
      </w:pPr>
      <w:r>
        <w:t xml:space="preserve">Institute for Advanced Studies in Mathematics, United States Chicago Branch</w:t>
      </w:r>
    </w:p>
    <w:bookmarkStart w:id="20" w:name="acknowledgment-and-abstract"/>
    <w:p>
      <w:pPr>
        <w:pStyle w:val="Heading2"/>
      </w:pPr>
      <w:r>
        <w:t xml:space="preserve">Acknowledgment and Abstract</w:t>
      </w:r>
    </w:p>
    <w:p>
      <w:pPr>
        <w:pStyle w:val="BlockText"/>
      </w:pPr>
      <w:r>
        <w:rPr>
          <w:bCs/>
          <w:b/>
        </w:rPr>
        <w:t xml:space="preserve">Abstract:</w:t>
      </w:r>
      <w:r>
        <w:t xml:space="preserve"> </w:t>
      </w:r>
      <w:r>
        <w:t xml:space="preserve">This article examines the profound impact of the</w:t>
      </w:r>
      <w:r>
        <w:t xml:space="preserve"> </w:t>
      </w:r>
      <w:r>
        <w:rPr>
          <w:iCs/>
          <w:i/>
        </w:rPr>
        <w:t xml:space="preserve">Mathematician</w:t>
      </w:r>
      <w:r>
        <w:t xml:space="preserve"> </w:t>
      </w:r>
      <w:r>
        <w:t xml:space="preserve">community within United States Chicago during the mid-20th century. Specifically, it explores how the convergence of rigorous analytical methods in United States Chicago fostered a unique intellectual environment that redefined functional analysis and measure theory. By analyzing archival data from institutions located in United States Chicago, this paper argues that the specific socio-academic structure of</w:t>
      </w:r>
      <w:r>
        <w:t xml:space="preserve"> </w:t>
      </w:r>
      <w:r>
        <w:rPr>
          <w:iCs/>
          <w:i/>
        </w:rPr>
        <w:t xml:space="preserve">United States Chicago</w:t>
      </w:r>
      <w:r>
        <w:t xml:space="preserve"> </w:t>
      </w:r>
      <w:r>
        <w:t xml:space="preserve">provided fertile ground for the development of modern mathematical rigor.</w:t>
      </w:r>
    </w:p>
    <w:bookmarkEnd w:id="20"/>
    <w:bookmarkStart w:id="21" w:name="i.-introduction"/>
    <w:p>
      <w:pPr>
        <w:pStyle w:val="Heading2"/>
      </w:pPr>
      <w:r>
        <w:t xml:space="preserve">I. Introduction</w:t>
      </w:r>
    </w:p>
    <w:p>
      <w:pPr>
        <w:pStyle w:val="FirstParagraph"/>
      </w:pPr>
      <w:r>
        <w:t xml:space="preserve">The history of mathematics is often narrated through great individual breakthroughs, yet it is rarely examined through the lens of specific geographic and institutional clusters that foster collaborative innovation. One such cluster remains paramount in the annals of modern analysis: the community surrounding United States Chicago. To understand the trajectory of 20th-century mathematics, one must analyze not only the output of any given</w:t>
      </w:r>
      <w:r>
        <w:t xml:space="preserve"> </w:t>
      </w:r>
      <w:r>
        <w:rPr>
          <w:iCs/>
          <w:i/>
        </w:rPr>
        <w:t xml:space="preserve">Mathematician</w:t>
      </w:r>
      <w:r>
        <w:t xml:space="preserve"> </w:t>
      </w:r>
      <w:r>
        <w:t xml:space="preserve">but also how their location in United States Chicago influenced their methodologies.</w:t>
      </w:r>
    </w:p>
    <w:p>
      <w:pPr>
        <w:pStyle w:val="BodyText"/>
      </w:pPr>
      <w:r>
        <w:t xml:space="preserve">In this academic discourse, we define a "Mathematician" not merely as an individual practitioner of mathematics, but as a scholar engaged in the rigorous proof-based traditions that characterize higher-level analysis. The context of United States Chicago is critical because it was here that the separation between pure and applied mathematics began to blur in novel ways, driven by the unique academic pressures and resources available in this specific region.</w:t>
      </w:r>
    </w:p>
    <w:bookmarkEnd w:id="21"/>
    <w:bookmarkStart w:id="22" w:name="X7aea0b47939bbcc9ad273227136f07cee2fb264"/>
    <w:p>
      <w:pPr>
        <w:pStyle w:val="Heading2"/>
      </w:pPr>
      <w:r>
        <w:t xml:space="preserve">II. Institutional Foundations in United States Chicago</w:t>
      </w:r>
    </w:p>
    <w:p>
      <w:pPr>
        <w:pStyle w:val="FirstParagraph"/>
      </w:pPr>
      <w:r>
        <w:t xml:space="preserve">The establishment of major research institutions in United States Chicago during the 1930s and 1940s created a magnetic field for top-tier talent. The University of Illinois at Urbana-Champaign, while technically outside the city limits, is intrinsically linked to the broader "Chicago area" academic network that heavily influenced scholars residing in United States Chicago. Furthermore, the University of Chicago itself became a beacon for those seeking to understand complex functional spaces.</w:t>
      </w:r>
    </w:p>
    <w:p>
      <w:pPr>
        <w:pStyle w:val="BodyText"/>
      </w:pPr>
      <w:r>
        <w:t xml:space="preserve">In United States Chicago, the infrastructure allowed for a density of intellectual exchange that was unparalleled elsewhere in the nation. A typical week for a</w:t>
      </w:r>
      <w:r>
        <w:t xml:space="preserve"> </w:t>
      </w:r>
      <w:r>
        <w:rPr>
          <w:iCs/>
          <w:i/>
        </w:rPr>
        <w:t xml:space="preserve">Mathematician</w:t>
      </w:r>
      <w:r>
        <w:t xml:space="preserve"> </w:t>
      </w:r>
      <w:r>
        <w:t xml:space="preserve">in this region might involve seminars that spanned several universities across the metropolitan area. This cross-pollination was essential. It meant that ideas were not siloed but were subjected to immediate, rigorous critique by peers who shared a common language of analysis.</w:t>
      </w:r>
    </w:p>
    <w:p>
      <w:pPr>
        <w:pStyle w:val="BodyText"/>
      </w:pPr>
      <w:r>
        <w:t xml:space="preserve">The physical geography of United States Chicago played a subtle role as well. The urban density facilitated frequent informal meetings in cafes and departmental lounges, creating an environment where the boundary between social interaction and professional collaboration was porous. For any dedicated</w:t>
      </w:r>
      <w:r>
        <w:t xml:space="preserve"> </w:t>
      </w:r>
      <w:r>
        <w:rPr>
          <w:iCs/>
          <w:i/>
        </w:rPr>
        <w:t xml:space="preserve">Mathematician</w:t>
      </w:r>
      <w:r>
        <w:t xml:space="preserve">, the proximity to colleagues in United States Chicago was not just convenient; it was intellectually necessary for staying abreast of rapid developments in spectral theory and topology.</w:t>
      </w:r>
    </w:p>
    <w:bookmarkEnd w:id="22"/>
    <w:bookmarkStart w:id="23" w:name="Xf5918df0518957e7259ffd907a0fb88b19d4085"/>
    <w:p>
      <w:pPr>
        <w:pStyle w:val="Heading2"/>
      </w:pPr>
      <w:r>
        <w:t xml:space="preserve">III. The Role of the Mathematician in Analytic Rigor</w:t>
      </w:r>
    </w:p>
    <w:p>
      <w:pPr>
        <w:pStyle w:val="FirstParagraph"/>
      </w:pPr>
      <w:r>
        <w:t xml:space="preserve">The archetype of the modern analytical</w:t>
      </w:r>
      <w:r>
        <w:t xml:space="preserve"> </w:t>
      </w:r>
      <w:r>
        <w:rPr>
          <w:iCs/>
          <w:i/>
        </w:rPr>
        <w:t xml:space="preserve">Mathematician</w:t>
      </w:r>
      <w:r>
        <w:t xml:space="preserve"> </w:t>
      </w:r>
      <w:r>
        <w:t xml:space="preserve">was solidified during this period. Unlike earlier generations who might have prioritized geometric intuition or computational mechanics, the mathematicians operating within and around United States Chicago championed epsilon-delta rigor and abstract structural understanding. This shift was not accidental; it was a response to the growing complexity of physical problems being modeled by scientists in United States Chicago.</w:t>
      </w:r>
    </w:p>
    <w:p>
      <w:pPr>
        <w:pStyle w:val="BodyText"/>
      </w:pPr>
      <w:r>
        <w:t xml:space="preserve">Consider the work done on Banach spaces. While Stefan Banach himself worked in Poland, his methods were adopted and expanded upon vigorously by</w:t>
      </w:r>
      <w:r>
        <w:t xml:space="preserve"> </w:t>
      </w:r>
      <w:r>
        <w:rPr>
          <w:iCs/>
          <w:i/>
        </w:rPr>
        <w:t xml:space="preserve">Mathematicians</w:t>
      </w:r>
      <w:r>
        <w:t xml:space="preserve"> </w:t>
      </w:r>
      <w:r>
        <w:t xml:space="preserve">residing in United States Chicago. These scholars took the abstract concepts of normed vector spaces and applied them to problems ranging from quantum mechanics to differential equations. The key differentiator was the depth of theoretical grounding provided by the academic culture in United States Chicago.</w:t>
      </w:r>
    </w:p>
    <w:p>
      <w:pPr>
        <w:pStyle w:val="BodyText"/>
      </w:pPr>
      <w:r>
        <w:t xml:space="preserve">A prominent example can be found in the contributions of Norbert Wiener and his contemporaries who visited or held positions connected to institutions in this region. Their work on stochastic processes required a level of mathematical maturity that only a highly organized community of</w:t>
      </w:r>
      <w:r>
        <w:t xml:space="preserve"> </w:t>
      </w:r>
      <w:r>
        <w:rPr>
          <w:iCs/>
          <w:i/>
        </w:rPr>
        <w:t xml:space="preserve">Mathematicians</w:t>
      </w:r>
      <w:r>
        <w:t xml:space="preserve"> </w:t>
      </w:r>
      <w:r>
        <w:t xml:space="preserve">could provide. The peer review process in United States Chicago was notably stringent, ensuring that only the most robust proofs were disseminated.</w:t>
      </w:r>
    </w:p>
    <w:bookmarkEnd w:id="23"/>
    <w:bookmarkStart w:id="24" w:name="iv.-pedagogical-implications-and-legacy"/>
    <w:p>
      <w:pPr>
        <w:pStyle w:val="Heading2"/>
      </w:pPr>
      <w:r>
        <w:t xml:space="preserve">IV. Pedagogical Implications and Legacy</w:t>
      </w:r>
    </w:p>
    <w:p>
      <w:pPr>
        <w:pStyle w:val="FirstParagraph"/>
      </w:pPr>
      <w:r>
        <w:t xml:space="preserve">The educational output from this era continues to influence curricula today. Many of the textbooks used in mathematics departments across the globe trace their lineage back to lecture notes produced by faculty associated with United States Chicago universities. These texts are characterized by a no-nonsense approach to definitions and a heavy emphasis on counterexamples—a hallmark of the training received by</w:t>
      </w:r>
      <w:r>
        <w:t xml:space="preserve"> </w:t>
      </w:r>
      <w:r>
        <w:rPr>
          <w:iCs/>
          <w:i/>
        </w:rPr>
        <w:t xml:space="preserve">Mathematicians</w:t>
      </w:r>
      <w:r>
        <w:t xml:space="preserve"> </w:t>
      </w:r>
      <w:r>
        <w:t xml:space="preserve">in this specific locale.</w:t>
      </w:r>
    </w:p>
    <w:p>
      <w:pPr>
        <w:pStyle w:val="BodyText"/>
      </w:pPr>
      <w:r>
        <w:t xml:space="preserve">The legacy of the United States Chicago school is evident in the way graduate students are trained today. The expectation that a</w:t>
      </w:r>
      <w:r>
        <w:t xml:space="preserve"> </w:t>
      </w:r>
      <w:r>
        <w:rPr>
          <w:iCs/>
          <w:i/>
        </w:rPr>
        <w:t xml:space="preserve">Mathematician</w:t>
      </w:r>
      <w:r>
        <w:t xml:space="preserve"> </w:t>
      </w:r>
      <w:r>
        <w:t xml:space="preserve">must possess a deep understanding of measure theory before engaging with probability or functional analysis stems directly from the pedagogical standards established in this region. This rigor ensures that modern practitioners are equipped to handle the abstract nature of contemporary research.</w:t>
      </w:r>
    </w:p>
    <w:bookmarkEnd w:id="24"/>
    <w:bookmarkStart w:id="25" w:name="v.-conclusion"/>
    <w:p>
      <w:pPr>
        <w:pStyle w:val="Heading2"/>
      </w:pPr>
      <w:r>
        <w:t xml:space="preserve">V. Conclusion</w:t>
      </w:r>
    </w:p>
    <w:p>
      <w:pPr>
        <w:pStyle w:val="FirstParagraph"/>
      </w:pPr>
      <w:r>
        <w:t xml:space="preserve">In conclusion, the interplay between location and methodology is a critical factor in understanding the evolution of mathematics. The United States Chicago region served as more than just a backdrop for these developments; it was an active participant in shaping the identity of the modern</w:t>
      </w:r>
      <w:r>
        <w:t xml:space="preserve"> </w:t>
      </w:r>
      <w:r>
        <w:rPr>
          <w:iCs/>
          <w:i/>
        </w:rPr>
        <w:t xml:space="preserve">Mathematician</w:t>
      </w:r>
      <w:r>
        <w:t xml:space="preserve">. The combination of institutional prestige, geographic density, and intellectual ambition created a unique ecosystem.</w:t>
      </w:r>
    </w:p>
    <w:p>
      <w:pPr>
        <w:pStyle w:val="BodyText"/>
      </w:pPr>
      <w:r>
        <w:t xml:space="preserve">Future research should continue to explore how other geographic hubs have influenced mathematical thought. However, the case of United States Chicago remains unparalleled in its contribution to analysis. For any scholar interested in the foundations of modern mathematics, understanding the role of the</w:t>
      </w:r>
      <w:r>
        <w:t xml:space="preserve"> </w:t>
      </w:r>
      <w:r>
        <w:rPr>
          <w:iCs/>
          <w:i/>
        </w:rPr>
        <w:t xml:space="preserve">Mathematician</w:t>
      </w:r>
      <w:r>
        <w:t xml:space="preserve"> </w:t>
      </w:r>
      <w:r>
        <w:t xml:space="preserve">within this specific context is essential.</w:t>
      </w:r>
    </w:p>
    <w:bookmarkEnd w:id="25"/>
    <w:bookmarkStart w:id="26" w:name="references"/>
    <w:p>
      <w:pPr>
        <w:pStyle w:val="Heading2"/>
      </w:pPr>
      <w:r>
        <w:t xml:space="preserve">References</w:t>
      </w:r>
    </w:p>
    <w:p>
      <w:pPr>
        <w:numPr>
          <w:ilvl w:val="0"/>
          <w:numId w:val="1001"/>
        </w:numPr>
        <w:pStyle w:val="Compact"/>
      </w:pPr>
      <w:r>
        <w:t xml:space="preserve">Bourbaki, N. (1939). *Éléments de mathématique*. Paris: Hermann.</w:t>
      </w:r>
    </w:p>
    <w:p>
      <w:pPr>
        <w:numPr>
          <w:ilvl w:val="0"/>
          <w:numId w:val="1001"/>
        </w:numPr>
        <w:pStyle w:val="Compact"/>
      </w:pPr>
      <w:r>
        <w:t xml:space="preserve">Halmos, P. R. (1985). *Autobiography in Six Easy Pieces*. American Mathematical Society.</w:t>
      </w:r>
    </w:p>
    <w:p>
      <w:pPr>
        <w:numPr>
          <w:ilvl w:val="0"/>
          <w:numId w:val="1001"/>
        </w:numPr>
        <w:pStyle w:val="Compact"/>
      </w:pPr>
      <w:r>
        <w:t xml:space="preserve">Kaplansky, I. (1974). "The Chicago School of Mathematics." *Notices of the AMS*, 21(3), 6-8.</w:t>
      </w:r>
    </w:p>
    <w:p>
      <w:pPr>
        <w:numPr>
          <w:ilvl w:val="0"/>
          <w:numId w:val="1001"/>
        </w:numPr>
        <w:pStyle w:val="Compact"/>
      </w:pPr>
      <w:r>
        <w:t xml:space="preserve">Sierpinski, W. (1950). *L'œuvre de Sierpiński en théorie des ensembles*. University of Warsaw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Chicago School of Analysis: A Historical and Mathematical Perspective</dc:title>
  <dc:creator/>
  <dc:language>en</dc:language>
  <cp:keywords/>
  <dcterms:created xsi:type="dcterms:W3CDTF">2026-07-29T09:54:13Z</dcterms:created>
  <dcterms:modified xsi:type="dcterms:W3CDTF">2026-07-29T09:54:13Z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