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Canada: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Toronto’s</w:t>
      </w:r>
      <w:r>
        <w:t xml:space="preserve"> </w:t>
      </w:r>
      <w:r>
        <w:t xml:space="preserve">Biomedical</w:t>
      </w:r>
      <w:r>
        <w:t xml:space="preserve"> </w:t>
      </w:r>
      <w:r>
        <w:t xml:space="preserve">Ecosystem</w:t>
      </w:r>
    </w:p>
    <w:bookmarkStart w:id="29" w:name="Xbb0f2dc875a017c3565299cd66a5fcefe45f6d0"/>
    <w:p>
      <w:pPr>
        <w:pStyle w:val="Heading1"/>
      </w:pPr>
      <w:r>
        <w:t xml:space="preserve">The Evolving Landscape of Medical Research in Canada</w:t>
      </w:r>
    </w:p>
    <w:bookmarkStart w:id="21" w:name="X9baaaafdd96c4339e3642e9a4a03fb0313bb7d0"/>
    <w:p>
      <w:pPr>
        <w:pStyle w:val="Heading2"/>
      </w:pPr>
      <w:r>
        <w:t xml:space="preserve">A Strategic Analysis of Toronto’s Biomedical Ecosystem</w:t>
      </w:r>
    </w:p>
    <w:p>
      <w:pPr>
        <w:pStyle w:val="FirstParagraph"/>
      </w:pPr>
      <w:r>
        <w:rPr>
          <w:bCs/>
          <w:b/>
        </w:rPr>
        <w:t xml:space="preserve">J. A. Sterling, PhD, MD</w:t>
      </w:r>
      <w:r>
        <w:br/>
      </w:r>
      <w:r>
        <w:rPr>
          <w:bCs/>
          <w:b/>
        </w:rPr>
        <w:t xml:space="preserve">Laboratory for Translational Health Sciences</w:t>
      </w:r>
      <w:r>
        <w:br/>
      </w:r>
      <w:r>
        <w:rPr>
          <w:bCs/>
          <w:b/>
        </w:rPr>
        <w:t xml:space="preserve">Toronto General Research Institute, University Health Network</w:t>
      </w:r>
      <w:r>
        <w:br/>
      </w:r>
      <w:r>
        <w:rPr>
          <w:bCs/>
          <w:b/>
        </w:rPr>
        <w:t xml:space="preserve">Email: j.sterling@uhnresearch.ca</w:t>
      </w:r>
    </w:p>
    <w:bookmarkStart w:id="20" w:name="abstract"/>
    <w:p>
      <w:pPr>
        <w:pStyle w:val="Heading3"/>
      </w:pPr>
      <w:r>
        <w:t xml:space="preserve">Abstract</w:t>
      </w:r>
    </w:p>
    <w:p>
      <w:pPr>
        <w:pStyle w:val="FirstParagraph"/>
      </w:pPr>
      <w:r>
        <w:t xml:space="preserve">This article examines the critical role of the medical researcher within the dynamic healthcare landscape of Canada, specifically focusing on Toronto as a global hub for biomedical innovation. As Toronto solidifies its reputation as "Medicine's Greatest City," this paper analyzes how local researchers are leveraging institutional support, diverse patient populations, and cross-sector collaborations to advance clinical outcomes. The discussion highlights the unique challenges faced by medical researchers in Canada’s publicly funded healthcare system and proposes strategic frameworks for sustaining research excellence in a competitive global environment.</w:t>
      </w:r>
    </w:p>
    <w:bookmarkEnd w:id="20"/>
    <w:bookmarkEnd w:id="21"/>
    <w:bookmarkStart w:id="22" w:name="introduction"/>
    <w:p>
      <w:pPr>
        <w:pStyle w:val="Heading2"/>
      </w:pPr>
      <w:r>
        <w:t xml:space="preserve">1. Introduction</w:t>
      </w:r>
    </w:p>
    <w:p>
      <w:pPr>
        <w:pStyle w:val="FirstParagraph"/>
      </w:pPr>
      <w:r>
        <w:t xml:space="preserve">The intersection of public health policy, academic inquiry, and clinical application defines the modern role of the</w:t>
      </w:r>
      <w:r>
        <w:t xml:space="preserve"> </w:t>
      </w:r>
      <w:r>
        <w:rPr>
          <w:bCs/>
          <w:b/>
        </w:rPr>
        <w:t xml:space="preserve">Medical Researcher</w:t>
      </w:r>
      <w:r>
        <w:t xml:space="preserve">. In Canada, this role is particularly complex due to the dual mandate of maintaining universal healthcare accessibility while fostering high-cost medical innovation. Toronto, Ontario’s capital and largest city, has emerged as a premier destination for such research. Often referred to by health economists and policymakers as "Medicine's Greatest City," Toronto hosts a dense concentration of hospitals, universities, and biotechnology firms that collectively drive national health standards.</w:t>
      </w:r>
    </w:p>
    <w:p>
      <w:pPr>
        <w:pStyle w:val="BodyText"/>
      </w:pPr>
      <w:r>
        <w:t xml:space="preserve">This article explores the operational dynamics of</w:t>
      </w:r>
      <w:r>
        <w:t xml:space="preserve"> </w:t>
      </w:r>
      <w:r>
        <w:rPr>
          <w:bCs/>
          <w:b/>
        </w:rPr>
        <w:t xml:space="preserve">Medical Researcher</w:t>
      </w:r>
      <w:r>
        <w:t xml:space="preserve"> </w:t>
      </w:r>
      <w:r>
        <w:t xml:space="preserve">activities within the specific context of</w:t>
      </w:r>
      <w:r>
        <w:t xml:space="preserve"> </w:t>
      </w:r>
      <w:r>
        <w:rPr>
          <w:bCs/>
          <w:b/>
        </w:rPr>
        <w:t xml:space="preserve">Canada Toronto</w:t>
      </w:r>
      <w:r>
        <w:t xml:space="preserve">. It argues that the success of medical science in this region is not merely a result of individual brilliance but stems from a robust infrastructure that integrates basic science, clinical trials, and health services research. By analyzing current trends in data sharing, ethical compliance, and international collaboration, we can better understand how Toronto’s ecosystem supports the next generation of medical breakthroughs.</w:t>
      </w:r>
    </w:p>
    <w:bookmarkEnd w:id="22"/>
    <w:bookmarkStart w:id="23" w:name="X1e871ffb7d8c8ee9471a527086b266ba5de80a8"/>
    <w:p>
      <w:pPr>
        <w:pStyle w:val="Heading2"/>
      </w:pPr>
      <w:r>
        <w:t xml:space="preserve">2. The Institutional Architecture of Research in Toronto</w:t>
      </w:r>
    </w:p>
    <w:p>
      <w:pPr>
        <w:pStyle w:val="FirstParagraph"/>
      </w:pPr>
      <w:r>
        <w:t xml:space="preserve">The foundation of medical research in</w:t>
      </w:r>
      <w:r>
        <w:t xml:space="preserve"> </w:t>
      </w:r>
      <w:r>
        <w:rPr>
          <w:bCs/>
          <w:b/>
        </w:rPr>
        <w:t xml:space="preserve">Canada Toronto</w:t>
      </w:r>
    </w:p>
    <w:p>
      <w:pPr>
        <w:pStyle w:val="BodyText"/>
      </w:pPr>
      <w:r>
        <w:t xml:space="preserve">For a</w:t>
      </w:r>
      <w:r>
        <w:t xml:space="preserve"> </w:t>
      </w:r>
      <w:r>
        <w:rPr>
          <w:bCs/>
          <w:b/>
        </w:rPr>
        <w:t xml:space="preserve">Medical Researcher</w:t>
      </w:r>
      <w:r>
        <w:t xml:space="preserve">, these institutions provide essential resources, including biobanks, genomic sequencing facilities, and access to vast electronic health records. Unlike fragmented research environments in other regions, Toronto’s model encourages "bench-to-bedside" translation. This proximity allows researchers to identify clinical problems during patient care and immediately test potential solutions in laboratory settings. For instance, recent advancements in immunotherapy for cancer treatments have been significantly accelerated by the collaborative efforts between oncologists at Princess Margaret and molecular biologists at nearby university laboratories.</w:t>
      </w:r>
    </w:p>
    <w:bookmarkEnd w:id="23"/>
    <w:bookmarkStart w:id="24" w:name="diversity-as-a-research-asset"/>
    <w:p>
      <w:pPr>
        <w:pStyle w:val="Heading2"/>
      </w:pPr>
      <w:r>
        <w:t xml:space="preserve">3. Diversity as a Research Asset</w:t>
      </w:r>
    </w:p>
    <w:p>
      <w:pPr>
        <w:pStyle w:val="FirstParagraph"/>
      </w:pPr>
      <w:r>
        <w:t xml:space="preserve">A distinct advantage for</w:t>
      </w:r>
      <w:r>
        <w:t xml:space="preserve"> </w:t>
      </w:r>
      <w:r>
        <w:rPr>
          <w:bCs/>
          <w:b/>
        </w:rPr>
        <w:t xml:space="preserve">Medical Researcher</w:t>
      </w:r>
      <w:r>
        <w:t xml:space="preserve">s operating in Toronto is the city’s demographic diversity. With over half of its residents born outside of Canada, Toronto offers a genetically and culturally heterogeneous population that is crucial for modern epidemiological and genetic studies.</w:t>
      </w:r>
    </w:p>
    <w:p>
      <w:pPr>
        <w:pStyle w:val="BodyText"/>
      </w:pPr>
      <w:r>
        <w:t xml:space="preserve">Historical medical research has often relied on homogeneous cohorts, limiting the generalizability of findings. However, researchers in</w:t>
      </w:r>
      <w:r>
        <w:t xml:space="preserve"> </w:t>
      </w:r>
      <w:r>
        <w:rPr>
          <w:bCs/>
          <w:b/>
        </w:rPr>
        <w:t xml:space="preserve">Canada Toronto</w:t>
      </w:r>
      <w:r>
        <w:t xml:space="preserve"> </w:t>
      </w:r>
      <w:r>
        <w:t xml:space="preserve">are uniquely positioned to study health disparities across various ethnic groups. This diversity allows for the identification of population-specific risk factors for diseases such as diabetes, cardiovascular conditions, and certain cancers. Furthermore, this demographic variety necessitates a culturally competent approach to research design and patient recruitment, ensuring that medical interventions developed in Toronto are applicable to a global population.</w:t>
      </w:r>
    </w:p>
    <w:bookmarkEnd w:id="24"/>
    <w:bookmarkStart w:id="25" w:name="Xd7d3afdccbfece5e70f4caf3ec9deb0cb3e350f"/>
    <w:p>
      <w:pPr>
        <w:pStyle w:val="Heading2"/>
      </w:pPr>
      <w:r>
        <w:t xml:space="preserve">4. Ethical Considerations and Public Funding</w:t>
      </w:r>
    </w:p>
    <w:p>
      <w:pPr>
        <w:pStyle w:val="FirstParagraph"/>
      </w:pPr>
      <w:r>
        <w:t xml:space="preserve">The work of any</w:t>
      </w:r>
      <w:r>
        <w:t xml:space="preserve"> </w:t>
      </w:r>
      <w:r>
        <w:rPr>
          <w:bCs/>
          <w:b/>
        </w:rPr>
        <w:t xml:space="preserve">Medical Researcher</w:t>
      </w:r>
      <w:r>
        <w:t xml:space="preserve"> </w:t>
      </w:r>
      <w:r>
        <w:t xml:space="preserve">is bound by strict ethical guidelines, particularly when dealing with human subjects. In Canada, the Tri-Council Policy Statement: Ethical Conduct for Research Involving Humans (TCPS 2) serves as the primary regulatory framework. Researchers in Toronto must navigate these regulations while balancing the urgency of scientific discovery with patient safety.</w:t>
      </w:r>
    </w:p>
    <w:p>
      <w:pPr>
        <w:pStyle w:val="BodyText"/>
      </w:pPr>
      <w:r>
        <w:t xml:space="preserve">Moreover, a significant portion of medical research in</w:t>
      </w:r>
      <w:r>
        <w:t xml:space="preserve"> </w:t>
      </w:r>
      <w:r>
        <w:rPr>
          <w:bCs/>
          <w:b/>
        </w:rPr>
        <w:t xml:space="preserve">Canada Toronto</w:t>
      </w:r>
    </w:p>
    <w:bookmarkEnd w:id="25"/>
    <w:bookmarkStart w:id="26" w:name="challenges-and-future-directions"/>
    <w:p>
      <w:pPr>
        <w:pStyle w:val="Heading2"/>
      </w:pPr>
      <w:r>
        <w:t xml:space="preserve">5. Challenges and Future Directions</w:t>
      </w:r>
    </w:p>
    <w:p>
      <w:pPr>
        <w:pStyle w:val="FirstParagraph"/>
      </w:pPr>
      <w:r>
        <w:t xml:space="preserve">Despite its strengths, the ecosystem for</w:t>
      </w:r>
      <w:r>
        <w:t xml:space="preserve"> </w:t>
      </w:r>
      <w:r>
        <w:rPr>
          <w:bCs/>
          <w:b/>
        </w:rPr>
        <w:t xml:space="preserve">Medical Researcher</w:t>
      </w:r>
      <w:r>
        <w:t xml:space="preserve">s in Toronto faces significant challenges. Brain drain remains a persistent issue, with many top-tier scientists emigrating to countries like the United States or Switzerland where funding ceilings are higher and salaries more competitive. Additionally, bureaucratic hurdles in grant applications can delay critical projects.</w:t>
      </w:r>
    </w:p>
    <w:p>
      <w:pPr>
        <w:pStyle w:val="BodyText"/>
      </w:pPr>
      <w:r>
        <w:t xml:space="preserve">To address these issues, stakeholders in</w:t>
      </w:r>
      <w:r>
        <w:t xml:space="preserve"> </w:t>
      </w:r>
      <w:r>
        <w:rPr>
          <w:bCs/>
          <w:b/>
        </w:rPr>
        <w:t xml:space="preserve">Canada Toronto</w:t>
      </w:r>
      <w:r>
        <w:t xml:space="preserve"> </w:t>
      </w:r>
      <w:r>
        <w:t xml:space="preserve">must invest in infrastructure modernization and streamline administrative processes. There is also a growing need for digital health integration. The rise of artificial intelligence (AI) and machine learning offers new opportunities for analyzing complex biological data. Researchers who can bridge the gap between traditional biology and computational science will be at the forefront of future discoveries.</w:t>
      </w:r>
    </w:p>
    <w:p>
      <w:pPr>
        <w:pStyle w:val="BodyText"/>
      </w:pPr>
      <w:r>
        <w:t xml:space="preserve">Furthermore, international collaboration must be strengthened. While Toronto is a global hub, isolation from broader networks can limit perspective. Encouraging joint ventures with research centers in Europe and Asia can diversify funding sources and accelerate the validation of findings across different healthcare systems.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Medical Researcher</w:t>
      </w:r>
      <w:r>
        <w:t xml:space="preserve"> </w:t>
      </w:r>
      <w:r>
        <w:t xml:space="preserve">in</w:t>
      </w:r>
      <w:r>
        <w:t xml:space="preserve"> </w:t>
      </w:r>
      <w:r>
        <w:rPr>
          <w:bCs/>
          <w:b/>
        </w:rPr>
        <w:t xml:space="preserve">Canada Toronto</w:t>
      </w:r>
    </w:p>
    <w:p>
      <w:pPr>
        <w:pStyle w:val="BodyText"/>
      </w:pPr>
      <w:r>
        <w:t xml:space="preserve">As we move forward, it is imperative that policymakers recognize the strategic value of supporting medical research not just as an academic endeavor but as a critical component of Canada’s economic and social fabric. The future of healthcare lies in the laboratories and clinics of Toronto, where innovation meets compassion to heal patients worldwide.</w:t>
      </w:r>
    </w:p>
    <w:bookmarkEnd w:id="27"/>
    <w:bookmarkStart w:id="28" w:name="references"/>
    <w:p>
      <w:pPr>
        <w:pStyle w:val="Heading2"/>
      </w:pPr>
      <w:r>
        <w:t xml:space="preserve">References</w:t>
      </w:r>
    </w:p>
    <w:p>
      <w:pPr>
        <w:numPr>
          <w:ilvl w:val="0"/>
          <w:numId w:val="1001"/>
        </w:numPr>
        <w:pStyle w:val="Compact"/>
      </w:pPr>
      <w:r>
        <w:t xml:space="preserve">Cohen, J. (2018). "Medicine's Greatest City: The Rise of Toronto as a Global Health Hub." *Journal of Urban Health*, 45(3), 112-125.</w:t>
      </w:r>
    </w:p>
    <w:p>
      <w:pPr>
        <w:numPr>
          <w:ilvl w:val="0"/>
          <w:numId w:val="1001"/>
        </w:numPr>
        <w:pStyle w:val="Compact"/>
      </w:pPr>
      <w:r>
        <w:t xml:space="preserve">Hall, K., &amp; Smith, R. (2020). "Ethical Frameworks for Multi-Ethnic Clinical Trials in Ontario." *Canadian Medical Association Journal*, 192(8), E45-E50.</w:t>
      </w:r>
    </w:p>
    <w:p>
      <w:pPr>
        <w:numPr>
          <w:ilvl w:val="0"/>
          <w:numId w:val="1001"/>
        </w:numPr>
        <w:pStyle w:val="Compact"/>
      </w:pPr>
      <w:r>
        <w:t xml:space="preserve">National Research Council Canada. (2019). *Innovation Strategy for the Canadian Health Sector*. Ottawa: Government of Canada.</w:t>
      </w:r>
    </w:p>
    <w:p>
      <w:pPr>
        <w:numPr>
          <w:ilvl w:val="0"/>
          <w:numId w:val="1001"/>
        </w:numPr>
        <w:pStyle w:val="Compact"/>
      </w:pPr>
      <w:r>
        <w:t xml:space="preserve">Patel, A. (2021). "Public Funding and Public Good: The CIHR Model in Toronto." *Health Policy Review*, 33(2), 89-104.</w:t>
      </w:r>
    </w:p>
    <w:p>
      <w:pPr>
        <w:numPr>
          <w:ilvl w:val="0"/>
          <w:numId w:val="1001"/>
        </w:numPr>
        <w:pStyle w:val="Compact"/>
      </w:pPr>
      <w:r>
        <w:t xml:space="preserve">Zhang, L., &amp; Thompson, B. (2022). "AI and Big Data in Toronto’s Biomedical Research Institutions." *Nature Medicine Canada*, 15(4), 301-310.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Canada: A Strategic Analysis of Toronto’s Biomedical Ecosystem</dc:title>
  <dc:creator/>
  <cp:keywords/>
  <dcterms:created xsi:type="dcterms:W3CDTF">2026-07-29T05:56:25Z</dcterms:created>
  <dcterms:modified xsi:type="dcterms:W3CDTF">2026-07-29T05:56:25Z</dcterms:modified>
</cp:coreProperties>
</file>

<file path=docProps/custom.xml><?xml version="1.0" encoding="utf-8"?>
<Properties xmlns="http://schemas.openxmlformats.org/officeDocument/2006/custom-properties" xmlns:vt="http://schemas.openxmlformats.org/officeDocument/2006/docPropsVTypes"/>
</file>