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Clinical</w:t>
      </w:r>
      <w:r>
        <w:t xml:space="preserve"> </w:t>
      </w:r>
      <w:r>
        <w:t xml:space="preserve">Excellence</w:t>
      </w:r>
      <w:r>
        <w:t xml:space="preserve"> </w:t>
      </w:r>
      <w:r>
        <w:t xml:space="preserve">and</w:t>
      </w:r>
      <w:r>
        <w:t xml:space="preserve"> </w:t>
      </w:r>
      <w:r>
        <w:t xml:space="preserve">Academic</w:t>
      </w:r>
      <w:r>
        <w:t xml:space="preserve"> </w:t>
      </w:r>
      <w:r>
        <w:t xml:space="preserve">Rigor:</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Berlin,</w:t>
      </w:r>
      <w:r>
        <w:t xml:space="preserve"> </w:t>
      </w:r>
      <w:r>
        <w:t xml:space="preserve">Germany</w:t>
      </w:r>
    </w:p>
    <w:bookmarkStart w:id="28" w:name="Xbfbc837acb0c32768f97b3abf8aad1f48e5dcbd"/>
    <w:p>
      <w:pPr>
        <w:pStyle w:val="Heading1"/>
      </w:pPr>
      <w:r>
        <w:t xml:space="preserve">The Intersection of Clinical Excellence and Academic Rigor: A Profile of the Modern Medical Researcher in Berlin, Germany</w:t>
      </w:r>
    </w:p>
    <w:p>
      <w:pPr>
        <w:pStyle w:val="FirstParagraph"/>
      </w:pPr>
      <w:r>
        <w:rPr>
          <w:bCs/>
          <w:b/>
        </w:rPr>
        <w:t xml:space="preserve">Dr. Elena Weber, Ph.D.</w:t>
      </w:r>
      <w:r>
        <w:br/>
      </w:r>
      <w:r>
        <w:t xml:space="preserve">Institute for Health Services Research in Healthcare,</w:t>
      </w:r>
      <w:r>
        <w:br/>
      </w:r>
      <w:r>
        <w:t xml:space="preserve">Berlin, Germany</w:t>
      </w:r>
    </w:p>
    <w:p>
      <w:pPr>
        <w:pStyle w:val="BodyText"/>
      </w:pPr>
      <w:r>
        <w:rPr>
          <w:iCs/>
          <w:i/>
        </w:rPr>
        <w:t xml:space="preserve">Contact: e.weber@charite.de</w:t>
      </w:r>
    </w:p>
    <w:bookmarkStart w:id="20" w:name="abstract"/>
    <w:p>
      <w:pPr>
        <w:pStyle w:val="Heading2"/>
      </w:pPr>
      <w:r>
        <w:t xml:space="preserve">Abstract</w:t>
      </w:r>
    </w:p>
    <w:p>
      <w:pPr>
        <w:pStyle w:val="FirstParagraph"/>
      </w:pPr>
      <w:r>
        <w:rPr>
          <w:bCs/>
          <w:b/>
        </w:rPr>
        <w:t xml:space="preserve">Purpose:</w:t>
      </w:r>
      <w:r>
        <w:t xml:space="preserve">This article examines the evolving role of the medical researcher within the highly specialized academic healthcare ecosystem of Berlin, Germany. As a global hub for biomedical innovation, Berlin presents unique challenges and opportunities for professionals who must navigate complex regulatory frameworks while driving translational science.</w:t>
      </w:r>
    </w:p>
    <w:p>
      <w:pPr>
        <w:pStyle w:val="BodyText"/>
      </w:pPr>
      <w:r>
        <w:rPr>
          <w:bCs/>
          <w:b/>
        </w:rPr>
        <w:t xml:space="preserve">Methods:</w:t>
      </w:r>
      <w:r>
        <w:t xml:space="preserve">A qualitative analysis was conducted regarding the professional profiles of medical researchers affiliated with major institutions such as Charité – Universitätsmedizin Berlin and the Max Delbrück Center for Molecular Medicine. Data were synthesized from institutional reports, ethical guidelines, and academic publications.</w:t>
      </w:r>
    </w:p>
    <w:p>
      <w:pPr>
        <w:pStyle w:val="BodyText"/>
      </w:pPr>
      <w:r>
        <w:rPr>
          <w:bCs/>
          <w:b/>
        </w:rPr>
        <w:t xml:space="preserve">Results:</w:t>
      </w:r>
      <w:r>
        <w:t xml:space="preserve">The modern medical researcher in Berlin is characterized by a dual competency model: mastery of clinical medicine combined with rigorous scientific methodology. The study highlights the critical importance of interdisciplinary collaboration, adherence to strict ethical standards mandated by German law, and the integration of digital health technologies.</w:t>
      </w:r>
    </w:p>
    <w:p>
      <w:pPr>
        <w:pStyle w:val="BodyText"/>
      </w:pPr>
      <w:r>
        <w:rPr>
          <w:bCs/>
          <w:b/>
        </w:rPr>
        <w:t xml:space="preserve">Conclusion:</w:t>
      </w:r>
      <w:r>
        <w:t xml:space="preserve">To maintain Germany’s standing in global medical research, institutions in Berlin must continue to foster an environment that supports both clinical innovation and academic inquiry. Future strategies should focus on enhancing funding accessibility for early-career researchers and strengthening international partnerships.</w:t>
      </w:r>
    </w:p>
    <w:bookmarkEnd w:id="20"/>
    <w:bookmarkStart w:id="21" w:name="introduction"/>
    <w:p>
      <w:pPr>
        <w:pStyle w:val="Heading2"/>
      </w:pPr>
      <w:r>
        <w:t xml:space="preserve">Introduction</w:t>
      </w:r>
    </w:p>
    <w:p>
      <w:pPr>
        <w:pStyle w:val="FirstParagraph"/>
      </w:pPr>
      <w:r>
        <w:t xml:space="preserve">The landscape of contemporary healthcare is defined by the rapid acceleration of scientific discovery. At the heart of this transformation lies the medical researcher, a professional who bridges the gap between laboratory bench and patient bedside. In Germany, particularly in its capital city of Berlin, this role assumes a heightened level of complexity and responsibility. Berlin is not merely a political center but has established itself as one of Europe’s leading hubs for biomedical research. With institutions like Charité – Universitätsmedizin Berlin consistently ranked among the top medical faculties in Europe, the city attracts talent from across the globe.</w:t>
      </w:r>
    </w:p>
    <w:p>
      <w:pPr>
        <w:pStyle w:val="BodyText"/>
      </w:pPr>
      <w:r>
        <w:t xml:space="preserve">For a medical researcher operating within this specific geographic and academic context, success requires more than just intellectual curiosity. It demands a deep understanding of the German healthcare system, rigorous adherence to European Union (EU) data protection regulations such as GDPR, and the ability to translate complex scientific findings into actionable clinical practices. This article explores these dynamics, focusing on how the identity of the medical researcher is shaped by their environment in Berlin.</w:t>
      </w:r>
    </w:p>
    <w:bookmarkEnd w:id="21"/>
    <w:bookmarkStart w:id="22" w:name="the-academic-environment-in-berlin"/>
    <w:p>
      <w:pPr>
        <w:pStyle w:val="Heading2"/>
      </w:pPr>
      <w:r>
        <w:t xml:space="preserve">The Academic Environment in Berlin</w:t>
      </w:r>
    </w:p>
    <w:p>
      <w:pPr>
        <w:pStyle w:val="FirstParagraph"/>
      </w:pPr>
      <w:r>
        <w:t xml:space="preserve">Berlin’s academic infrastructure for medical research is unparalleled. The city hosts a dense network of universities, non-university research institutes (such as those under the Fraunhofer, Helmholtz, and Max Planck societies), and university hospitals. For the medical researcher in Berlin, this proximity facilitates "translational medicine," a model where scientific discoveries are rapidly applied to clinical practice.</w:t>
      </w:r>
    </w:p>
    <w:p>
      <w:pPr>
        <w:pStyle w:val="BodyText"/>
      </w:pPr>
      <w:r>
        <w:t xml:space="preserve">The term "Academic Journal Article" serves as both the medium of dissemination and a metric for professional evaluation. In Berlin, researchers are under constant pressure to publish in high-impact journals. This publication culture drives innovation but also imposes significant time management challenges. The expectation is not only to conduct research but to communicate it effectively to the global scientific community, thereby influencing policy and clinical guidelines worldwide.</w:t>
      </w:r>
    </w:p>
    <w:bookmarkEnd w:id="22"/>
    <w:bookmarkStart w:id="23" w:name="Xc88151da7de5e9a1f121028e6a5cb6b4c9aa080"/>
    <w:p>
      <w:pPr>
        <w:pStyle w:val="Heading2"/>
      </w:pPr>
      <w:r>
        <w:t xml:space="preserve">Ethical Frameworks and Regulatory Compliance</w:t>
      </w:r>
    </w:p>
    <w:p>
      <w:pPr>
        <w:pStyle w:val="FirstParagraph"/>
      </w:pPr>
      <w:r>
        <w:t xml:space="preserve">A defining characteristic of medical research in Germany, and Berlin specifically, is its stringent ethical framework. The country’s historical context has led to some of the most rigorous bioethical standards globally. Medical researchers must navigate complex approval processes involving local ethics committees (Ethik-Kommissionen) before initiating any study involving human subjects.</w:t>
      </w:r>
    </w:p>
    <w:p>
      <w:pPr>
        <w:pStyle w:val="BodyText"/>
      </w:pPr>
      <w:r>
        <w:t xml:space="preserve">Furthermore, the integration of big data and artificial intelligence in healthcare introduces new ethical dilemmas. Researchers in Berlin are at the forefront of developing guidelines for algorithmic transparency and patient data privacy. The role of the medical researcher thus extends beyond traditional laboratory work to include advocacy for responsible innovation. Compliance with national laws, such as the German Medicines Act (Arzneimittelgesetz), is mandatory, ensuring that patient safety remains paramount over experimental ambition.</w:t>
      </w:r>
    </w:p>
    <w:bookmarkEnd w:id="23"/>
    <w:bookmarkStart w:id="24" w:name="interdisciplinary-collaboration"/>
    <w:p>
      <w:pPr>
        <w:pStyle w:val="Heading2"/>
      </w:pPr>
      <w:r>
        <w:t xml:space="preserve">Interdisciplinary Collaboration</w:t>
      </w:r>
    </w:p>
    <w:p>
      <w:pPr>
        <w:pStyle w:val="FirstParagraph"/>
      </w:pPr>
      <w:r>
        <w:t xml:space="preserve">The siloed approach to medicine is increasingly obsolete. In Berlin, the medical researcher is expected to be a collaborative partner across disciplines. Whether working with data scientists at the Berlin Institute of Health (BIH) or engineers at technical universities like TU Berlin, the modern researcher must speak multiple "languages." This interdisciplinary nature is crucial for addressing complex health challenges such as aging populations, infectious disease outbreaks, and chronic lifestyle-related diseases.</w:t>
      </w:r>
    </w:p>
    <w:p>
      <w:pPr>
        <w:pStyle w:val="BodyText"/>
      </w:pPr>
      <w:r>
        <w:t xml:space="preserve">For instance, recent projects in Berlin have focused on precision oncology. Here, medical researchers collaborate with geneticists to tailor cancer treatments based on individual genomic profiles. Such endeavors require a seamless integration of clinical insights with basic science research, highlighting the versatility required of today’s academic professionals.</w:t>
      </w:r>
    </w:p>
    <w:bookmarkEnd w:id="24"/>
    <w:bookmarkStart w:id="25" w:name="challenges-and-future-directions"/>
    <w:p>
      <w:pPr>
        <w:pStyle w:val="Heading2"/>
      </w:pPr>
      <w:r>
        <w:t xml:space="preserve">Challenges and Future Directions</w:t>
      </w:r>
    </w:p>
    <w:p>
      <w:pPr>
        <w:pStyle w:val="FirstParagraph"/>
      </w:pPr>
      <w:r>
        <w:t xml:space="preserve">Despite its strengths, the system faces challenges. Funding in Germany can be competitive and often project-based, creating instability for young medical researchers. Additionally, the bureaucratic burden associated with grant applications and ethical reviews can detract from actual research time. To sustain Berlin’s position as a leader in medical research, structural reforms are necessary to provide more stable career paths for junior scientists.</w:t>
      </w:r>
    </w:p>
    <w:p>
      <w:pPr>
        <w:pStyle w:val="BodyText"/>
      </w:pPr>
      <w:r>
        <w:t xml:space="preserve">Moreover, the global nature of pandemics underscores the need for international cooperation. Researchers in Berlin must continue to build robust networks with colleagues worldwide, sharing data and resources transparently while respecting national sovereignty and ethical boundaries.</w:t>
      </w:r>
    </w:p>
    <w:bookmarkEnd w:id="25"/>
    <w:bookmarkStart w:id="26" w:name="conclusion"/>
    <w:p>
      <w:pPr>
        <w:pStyle w:val="Heading2"/>
      </w:pPr>
      <w:r>
        <w:t xml:space="preserve">Conclusion</w:t>
      </w:r>
    </w:p>
    <w:p>
      <w:pPr>
        <w:pStyle w:val="FirstParagraph"/>
      </w:pPr>
      <w:r>
        <w:t xml:space="preserve">The medical researcher in Berlin stands at a critical juncture. They are custodians of scientific truth, advocates for patient welfare, and innovators in healthcare delivery. The academic journal article remains their primary tool for dissemination, ensuring that rigorous findings reach both peers and policymakers. As Germany continues to navigate the complexities of modern medicine, the support systems surrounding these researchers must evolve to meet the demands of an increasingly interconnected and data-driven world.</w:t>
      </w:r>
    </w:p>
    <w:p>
      <w:pPr>
        <w:pStyle w:val="BodyText"/>
      </w:pPr>
      <w:r>
        <w:t xml:space="preserve">By maintaining high ethical standards, fostering interdisciplinary collaboration, and addressing structural barriers to career progression, Berlin can ensure that its medical researchers continue to contribute meaningfully to global health. The future of medicine lies not just in discovery, but in the effective application of that discovery within a robust academic and clinical framework.</w:t>
      </w:r>
    </w:p>
    <w:bookmarkEnd w:id="26"/>
    <w:bookmarkStart w:id="27" w:name="references"/>
    <w:p>
      <w:pPr>
        <w:pStyle w:val="Heading2"/>
      </w:pPr>
      <w:r>
        <w:t xml:space="preserve">References</w:t>
      </w:r>
    </w:p>
    <w:p>
      <w:pPr>
        <w:numPr>
          <w:ilvl w:val="0"/>
          <w:numId w:val="1001"/>
        </w:numPr>
        <w:pStyle w:val="Compact"/>
      </w:pPr>
      <w:r>
        <w:t xml:space="preserve">Berlin Institute of Health (BIH). (2023). *Annual Report on Translational Medicine*. Berlin: BIH Press.</w:t>
      </w:r>
    </w:p>
    <w:p>
      <w:pPr>
        <w:numPr>
          <w:ilvl w:val="0"/>
          <w:numId w:val="1001"/>
        </w:numPr>
        <w:pStyle w:val="Compact"/>
      </w:pPr>
      <w:r>
        <w:t xml:space="preserve">Bundesinstitut für Arzneimittel und Medizinprodukte. (2022). *Guidelines for Clinical Trials in Germany*. Bonn: BfArM.</w:t>
      </w:r>
    </w:p>
    <w:p>
      <w:pPr>
        <w:numPr>
          <w:ilvl w:val="0"/>
          <w:numId w:val="1001"/>
        </w:numPr>
        <w:pStyle w:val="Compact"/>
      </w:pPr>
      <w:r>
        <w:t xml:space="preserve">Charité – Universitätsmedizin Berlin. (2023). *Strategic Plan for Academic Medicine 2030*. Berlin: Charité Publishing.</w:t>
      </w:r>
    </w:p>
    <w:p>
      <w:pPr>
        <w:numPr>
          <w:ilvl w:val="0"/>
          <w:numId w:val="1001"/>
        </w:numPr>
        <w:pStyle w:val="Compact"/>
      </w:pPr>
      <w:r>
        <w:t xml:space="preserve">Müller, K., &amp; Schmidt, J. (2021). "Ethical Challenges in AI-Driven Healthcare Research." *Journal of Medical Ethics*, 47(5), 312-318.</w:t>
      </w:r>
    </w:p>
    <w:p>
      <w:pPr>
        <w:numPr>
          <w:ilvl w:val="0"/>
          <w:numId w:val="1001"/>
        </w:numPr>
        <w:pStyle w:val="Compact"/>
      </w:pPr>
      <w:r>
        <w:t xml:space="preserve">National Academies Sciences Engineering Medicine. (2020). *The Future of Public Health Data Infrastructure*. Washington, DC: National Academies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Clinical Excellence and Academic Rigor: A Profile of the Modern Medical Researcher in Berlin, Germany</dc:title>
  <dc:creator/>
  <dc:language>en</dc:language>
  <cp:keywords/>
  <dcterms:created xsi:type="dcterms:W3CDTF">2026-07-29T07:02:42Z</dcterms:created>
  <dcterms:modified xsi:type="dcterms:W3CDTF">2026-07-29T07:02:42Z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