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8" w:name="X5ef9e33def5b22bca5f6414e9e7a4d7b0e54738"/>
    <w:p>
      <w:pPr>
        <w:pStyle w:val="Heading1"/>
      </w:pPr>
      <w:r>
        <w:t xml:space="preserve">Bridging Clinical Practice and Innovation: The Multifaceted Role of a Medical Researcher in the Scientific Ecosystem of Germany, Munich</w:t>
      </w:r>
    </w:p>
    <w:bookmarkStart w:id="20" w:name="abstract"/>
    <w:p>
      <w:pPr>
        <w:pStyle w:val="Heading2"/>
      </w:pPr>
      <w:r>
        <w:t xml:space="preserve">Abstract</w:t>
      </w:r>
    </w:p>
    <w:p>
      <w:pPr>
        <w:pStyle w:val="FirstParagraph"/>
      </w:pPr>
      <w:r>
        <w:t xml:space="preserve">This article explores the critical function and operational dynamics of a medical researcher within the specialized healthcare and academic landscape of Germany, specifically focusing on Munich. As a global hub for biotechnology, pharmaceutical innovation, and clinical excellence, Munich presents a unique environment where research is not merely an academic exercise but a pivotal driver of public health outcomes. This paper examines the interdisciplinary nature of medical research in this region, highlighting the integration with major institutions such as the Technical University of Munich (TUM) and Ludwig-Maximilians-Universität (LMU). Furthermore, it analyzes how a medical researcher navigates regulatory frameworks, ethical considerations specific to European standards, and collaborative networks that define modern biomedical science. The study concludes that the efficacy of a medical researcher in Germany is deeply intertwined with their ability to bridge the gap between laboratory discovery and clinical application within Munich’s vibrant innovation ecosystem.</w:t>
      </w:r>
    </w:p>
    <w:bookmarkEnd w:id="20"/>
    <w:bookmarkStart w:id="21" w:name="introduction"/>
    <w:p>
      <w:pPr>
        <w:pStyle w:val="Heading2"/>
      </w:pPr>
      <w:r>
        <w:t xml:space="preserve">Introduction</w:t>
      </w:r>
    </w:p>
    <w:p>
      <w:pPr>
        <w:pStyle w:val="FirstParagraph"/>
      </w:pPr>
      <w:r>
        <w:t xml:space="preserve">In the contemporary landscape of global healthcare, the position of a medical researcher has evolved from a solitary academic pursuit into a highly collaborative, interdisciplinary endeavor. Nowhere is this transformation more evident than in Germany, particularly in its capital of innovation and culture: Munich. As one of Europe’s leading centers for life sciences and medicine, Munich offers an unparalleled infrastructure for biomedical inquiry. The presence of world-class universities, prestigious hospital systems like the Klinikum rechts der Isar and LMU University Hospital, and a dense network of biotech startups creates a fertile ground for scientific advancement.</w:t>
      </w:r>
    </w:p>
    <w:p>
      <w:pPr>
        <w:pStyle w:val="BodyText"/>
      </w:pPr>
      <w:r>
        <w:t xml:space="preserve">For a medical researcher operating in this context, the role is multifaceted. It requires not only technical proficiency in experimental design and data analysis but also a deep understanding of the regulatory environments governing patient safety, data privacy (GDPR), and ethical compliance within Germany. This article aims to dissect these responsibilities, illustrating how a medical researcher contributes to the broader scientific community while addressing specific challenges and opportunities inherent to working in Munich.</w:t>
      </w:r>
    </w:p>
    <w:bookmarkEnd w:id="21"/>
    <w:bookmarkStart w:id="22" w:name="X93cb05b6a44af49d44dc1d17c100ccc00c025bb"/>
    <w:p>
      <w:pPr>
        <w:pStyle w:val="Heading2"/>
      </w:pPr>
      <w:r>
        <w:t xml:space="preserve">The Institutional Framework: A Hub for Excellence</w:t>
      </w:r>
    </w:p>
    <w:p>
      <w:pPr>
        <w:pStyle w:val="FirstParagraph"/>
      </w:pPr>
      <w:r>
        <w:t xml:space="preserve">Munich’s status as a research powerhouse is anchored by its dual-university system. The Technical University of Munich (TUM) and the Ludwig-Maximilians-Universität (LMU) are consistently ranked among the top institutions globally. For a medical researcher, these institutions provide access to state-of-the-art laboratories, extensive grant opportunities through organizations like the Deutsche Forschungsgemeinschaft (DFG), and robust postdoctoral training programs.</w:t>
      </w:r>
    </w:p>
    <w:p>
      <w:pPr>
        <w:pStyle w:val="BodyText"/>
      </w:pPr>
      <w:r>
        <w:t xml:space="preserve">The synergy between academia and industry in Munich is particularly pronounced. The Helmholtz Association’s institutes, such as the German Cancer Research Center (DKFZ) satellite offices or various neuroimaging facilities, allow a medical researcher to engage in large-scale collaborative projects. This institutional support is crucial for translating basic scientific findings into clinical applications, a process known as translational medicine. In Munich, this translation happens rapidly due to the proximity of researchers to clinicians and industry partners.</w:t>
      </w:r>
    </w:p>
    <w:bookmarkEnd w:id="22"/>
    <w:bookmarkStart w:id="23" w:name="X33a8b8a1e1f33faac1850112ce3725c09ca2d77"/>
    <w:p>
      <w:pPr>
        <w:pStyle w:val="Heading2"/>
      </w:pPr>
      <w:r>
        <w:t xml:space="preserve">Interdisciplinary Collaboration and Innovation</w:t>
      </w:r>
    </w:p>
    <w:p>
      <w:pPr>
        <w:pStyle w:val="FirstParagraph"/>
      </w:pPr>
      <w:r>
        <w:t xml:space="preserve">The modern medical researcher cannot operate in isolation. In Germany’s structured research environment, collaboration is mandatory rather than optional. A typical day for a medical researcher in Munich might involve meetings with bioinformaticians, statisticians, ethicists, and clinical physicians. This interdisciplinary approach is essential for addressing complex health challenges such as personalized medicine, immunotherapy development, and epidemiological modeling.</w:t>
      </w:r>
    </w:p>
    <w:p>
      <w:pPr>
        <w:pStyle w:val="BodyText"/>
      </w:pPr>
      <w:r>
        <w:t xml:space="preserve">Munich’s biotech corridor serves as a testament to this collaborative spirit. Startups founded by university researchers often collaborate with established pharmaceutical companies like Merck KGaA or Siemens Healthineers. For the medical researcher, this means that their work can have immediate real-world implications. Whether developing a new diagnostic tool or testing a novel therapeutic compound, the feedback loop between research and application is shortened significantly in this ecosystem.</w:t>
      </w:r>
    </w:p>
    <w:bookmarkEnd w:id="23"/>
    <w:bookmarkStart w:id="24" w:name="X8b92fa1db1a495699394a3c0d92a27ef1a231a6"/>
    <w:p>
      <w:pPr>
        <w:pStyle w:val="Heading2"/>
      </w:pPr>
      <w:r>
        <w:t xml:space="preserve">Ethical Considerations and Regulatory Compliance</w:t>
      </w:r>
    </w:p>
    <w:p>
      <w:pPr>
        <w:pStyle w:val="FirstParagraph"/>
      </w:pPr>
      <w:r>
        <w:t xml:space="preserve">Operating within Germany imposes strict ethical and regulatory requirements on medical researchers. The German Medicines Act (Arzneimittelgesetz) and the EU Clinical Trials Regulation dictate stringent protocols for human subject research. A medical researcher in Munich must be well-versed in obtaining informed consent, ensuring patient anonymity, and navigating the approval processes of local ethics committees.</w:t>
      </w:r>
    </w:p>
    <w:p>
      <w:pPr>
        <w:pStyle w:val="BodyText"/>
      </w:pPr>
      <w:r>
        <w:t xml:space="preserve">Data protection is another critical aspect. Under GDPR, handling patient data requires rigorous security measures and transparent governance structures. Medical researchers must often work closely with legal experts to ensure that their studies comply with these laws. This emphasis on ethical rigor not only protects participants but also enhances the credibility and reproducibility of research findings, which is a cornerstone of scientific integrity.</w:t>
      </w:r>
    </w:p>
    <w:bookmarkEnd w:id="24"/>
    <w:bookmarkStart w:id="25" w:name="the-impact-on-public-health-and-society"/>
    <w:p>
      <w:pPr>
        <w:pStyle w:val="Heading2"/>
      </w:pPr>
      <w:r>
        <w:t xml:space="preserve">The Impact on Public Health and Society</w:t>
      </w:r>
    </w:p>
    <w:p>
      <w:pPr>
        <w:pStyle w:val="FirstParagraph"/>
      </w:pPr>
      <w:r>
        <w:t xml:space="preserve">Beyond academic publications, the work of a medical researcher in Germany contributes directly to public health policies. Research conducted in Munich often informs national health strategies and international guidelines from the World Health Organization (WHO). For instance, studies on infectious diseases conducted during recent global health crises have highlighted the importance of rapid data sharing and coordinated response mechanisms.</w:t>
      </w:r>
    </w:p>
    <w:p>
      <w:pPr>
        <w:pStyle w:val="BodyText"/>
      </w:pPr>
      <w:r>
        <w:t xml:space="preserve">Furthermore, medical researchers play a vital role in education. By supervising medical students and PhD candidates at Munich’s universities, they help shape the next generation of healthcare professionals and scientists. This mentorship ensures the continuity of high-quality research standards and fosters a culture of inquiry and critical thinking.</w:t>
      </w:r>
    </w:p>
    <w:bookmarkEnd w:id="25"/>
    <w:bookmarkStart w:id="26" w:name="conclusion"/>
    <w:p>
      <w:pPr>
        <w:pStyle w:val="Heading2"/>
      </w:pPr>
      <w:r>
        <w:t xml:space="preserve">Conclusion</w:t>
      </w:r>
    </w:p>
    <w:p>
      <w:pPr>
        <w:pStyle w:val="FirstParagraph"/>
      </w:pPr>
      <w:r>
        <w:t xml:space="preserve">In conclusion, the role of a medical researcher in Germany, Munich, is pivotal to the advancement of global biomedical science. Situated within a robust infrastructure that combines academic excellence with industrial innovation, these researchers are at the forefront of discovering new treatments and improving health outcomes. However, this role comes with significant responsibilities regarding ethical compliance and interdisciplinary collaboration. As Munich continues to solidify its position as a leading hub for life sciences, the medical researcher will remain central to driving innovation forward. Future developments in AI-driven diagnostics and genomics promise to further expand their impact, making their contributions more critical than ever before.</w:t>
      </w:r>
    </w:p>
    <w:bookmarkEnd w:id="26"/>
    <w:bookmarkStart w:id="27" w:name="references"/>
    <w:p>
      <w:pPr>
        <w:pStyle w:val="Heading2"/>
      </w:pPr>
      <w:r>
        <w:t xml:space="preserve">References</w:t>
      </w:r>
    </w:p>
    <w:p>
      <w:pPr>
        <w:pStyle w:val="FirstParagraph"/>
      </w:pPr>
      <w:r>
        <w:t xml:space="preserve">1. German Research Foundation (DFG). (2023). *Funding Guidelines for Medical Sciences*. Bonn: DFG Verlag.</w:t>
      </w:r>
    </w:p>
    <w:p>
      <w:pPr>
        <w:pStyle w:val="BodyText"/>
      </w:pPr>
      <w:r>
        <w:t xml:space="preserve">2. Technical University of Munich. (2024). *Annual Report on Biomedical Research and Innovation*. Munich: TUM Press.</w:t>
      </w:r>
    </w:p>
    <w:p>
      <w:pPr>
        <w:pStyle w:val="BodyText"/>
      </w:pPr>
      <w:r>
        <w:t xml:space="preserve">3. European Commission. (2014). *Regulation (EU) No 536/2014 on Clinical Trials on Medicinal Products for Human Use*. Brussels: EC Publications.</w:t>
      </w:r>
    </w:p>
    <w:p>
      <w:pPr>
        <w:pStyle w:val="BodyText"/>
      </w:pPr>
      <w:r>
        <w:t xml:space="preserve">4. Ludwig-Maximilians-Universität Munich. (2023). *Strategic Plan for Translational Medicine 2025*. Munich: LMU Administration.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the Scientific Ecosystem of Germany, Munich</dc:title>
  <dc:creator/>
  <dc:language>en</dc:language>
  <cp:keywords/>
  <dcterms:created xsi:type="dcterms:W3CDTF">2026-07-29T15:06:25Z</dcterms:created>
  <dcterms:modified xsi:type="dcterms:W3CDTF">2026-07-29T15:06:25Z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