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Local</w:t>
      </w:r>
      <w:r>
        <w:t xml:space="preserve"> </w:t>
      </w:r>
      <w:r>
        <w:t xml:space="preserve">Health</w:t>
      </w:r>
      <w:r>
        <w:t xml:space="preserve"> </w:t>
      </w:r>
      <w:r>
        <w:t xml:space="preserve">Challenges</w:t>
      </w:r>
      <w:r>
        <w:t xml:space="preserve"> </w:t>
      </w:r>
      <w:r>
        <w:t xml:space="preserve">with</w:t>
      </w:r>
      <w:r>
        <w:t xml:space="preserve"> </w:t>
      </w:r>
      <w:r>
        <w:t xml:space="preserve">Global</w:t>
      </w:r>
      <w:r>
        <w:t xml:space="preserve"> </w:t>
      </w:r>
      <w:r>
        <w:t xml:space="preserve">Scientific</w:t>
      </w:r>
      <w:r>
        <w:t xml:space="preserve"> </w:t>
      </w:r>
      <w:r>
        <w:t xml:space="preserve">Standards</w:t>
      </w:r>
    </w:p>
    <w:bookmarkStart w:id="32" w:name="X98c5c18b1982e84eab40f3bab50de1d554acb28"/>
    <w:p>
      <w:pPr>
        <w:pStyle w:val="Heading1"/>
      </w:pPr>
      <w:r>
        <w:t xml:space="preserve">The Evolving Role of the Medical Researcher in Indonesia Jakarta: Bridging Local Health Challenges with Global Scientific Standards</w:t>
      </w:r>
    </w:p>
    <w:p>
      <w:pPr>
        <w:pStyle w:val="FirstParagraph"/>
      </w:pPr>
      <w:r>
        <w:rPr>
          <w:bCs/>
          <w:b/>
        </w:rPr>
        <w:t xml:space="preserve">Abstract:</w:t>
      </w:r>
    </w:p>
    <w:p>
      <w:pPr>
        <w:pStyle w:val="BodyText"/>
      </w:pPr>
      <w:r>
        <w:t xml:space="preserve">This article examines the critical and expanding role of the</w:t>
      </w:r>
      <w:r>
        <w:t xml:space="preserve"> </w:t>
      </w:r>
      <w:r>
        <w:rPr>
          <w:bCs/>
          <w:b/>
        </w:rPr>
        <w:t xml:space="preserve">Medical Researcher</w:t>
      </w:r>
      <w:r>
        <w:t xml:space="preserve"> </w:t>
      </w:r>
      <w:r>
        <w:t xml:space="preserve">within the specific socio-economic and epidemiological context of</w:t>
      </w:r>
      <w:r>
        <w:t xml:space="preserve"> </w:t>
      </w:r>
      <w:r>
        <w:rPr>
          <w:bCs/>
          <w:b/>
        </w:rPr>
        <w:t xml:space="preserve">Indonesia Jakarta</w:t>
      </w:r>
      <w:r>
        <w:t xml:space="preserve">. As one of the most densely populated metropolitan areas in Southeast Asia, Jakarta presents a unique intersection of infectious disease burdens, rising non-communicable diseases (NCDs), and environmental health hazards. This paper argues that modern</w:t>
      </w:r>
      <w:r>
        <w:t xml:space="preserve"> </w:t>
      </w:r>
      <w:r>
        <w:rPr>
          <w:bCs/>
          <w:b/>
        </w:rPr>
        <w:t xml:space="preserve">Medical Researcher</w:t>
      </w:r>
      <w:r>
        <w:t xml:space="preserve"> </w:t>
      </w:r>
      <w:r>
        <w:t xml:space="preserve">practitioners in this region must adopt a transdisciplinary approach to effectively address public health crises. By analyzing current trends in epidemiological data, infrastructure development, and policy integration, we highlight how localized research is essential for tailoring global medical knowledge to the specific needs of Jakarta’s diverse population.</w:t>
      </w:r>
    </w:p>
    <w:bookmarkStart w:id="20" w:name="introduction"/>
    <w:p>
      <w:pPr>
        <w:pStyle w:val="Heading2"/>
      </w:pPr>
      <w:r>
        <w:t xml:space="preserve">1. Introduction</w:t>
      </w:r>
    </w:p>
    <w:p>
      <w:pPr>
        <w:pStyle w:val="FirstParagraph"/>
      </w:pPr>
      <w:r>
        <w:t xml:space="preserve">The landscape of public health in Southeast Asia has undergone significant transformation over the last two decades. Nowhere is this more evident than in</w:t>
      </w:r>
      <w:r>
        <w:t xml:space="preserve"> </w:t>
      </w:r>
      <w:r>
        <w:rPr>
          <w:bCs/>
          <w:b/>
        </w:rPr>
        <w:t xml:space="preserve">Indonesia Jakarta</w:t>
      </w:r>
      <w:r>
        <w:t xml:space="preserve">, a megacity with a population exceeding ten million people within its administrative boundaries, and over thirty million when including the greater metropolitan area (Jabodetabek). The density and complexity of urban life in Jakarta create distinct health challenges that cannot be addressed by generic global health models alone. Consequently, the role of the</w:t>
      </w:r>
      <w:r>
        <w:t xml:space="preserve"> </w:t>
      </w:r>
      <w:r>
        <w:rPr>
          <w:bCs/>
          <w:b/>
        </w:rPr>
        <w:t xml:space="preserve">Medical Researcher</w:t>
      </w:r>
      <w:r>
        <w:t xml:space="preserve"> </w:t>
      </w:r>
      <w:r>
        <w:t xml:space="preserve">has shifted from purely academic inquiry to becoming a pivotal agent in public policy formulation, clinical innovation, and community health intervention.</w:t>
      </w:r>
    </w:p>
    <w:p>
      <w:pPr>
        <w:pStyle w:val="BodyText"/>
      </w:pPr>
      <w:r>
        <w:t xml:space="preserve">This article explores how</w:t>
      </w:r>
      <w:r>
        <w:t xml:space="preserve"> </w:t>
      </w:r>
      <w:r>
        <w:rPr>
          <w:bCs/>
          <w:b/>
        </w:rPr>
        <w:t xml:space="preserve">Medical Researcher</w:t>
      </w:r>
      <w:r>
        <w:t xml:space="preserve"> </w:t>
      </w:r>
      <w:r>
        <w:t xml:space="preserve">professionals operating in Jakarta are navigating these challenges. It emphasizes the necessity of integrating local cultural contexts with rigorous scientific methodology. Furthermore, it discusses the infrastructure currently being developed in</w:t>
      </w:r>
      <w:r>
        <w:t xml:space="preserve"> </w:t>
      </w:r>
      <w:r>
        <w:rPr>
          <w:bCs/>
          <w:b/>
        </w:rPr>
        <w:t xml:space="preserve">Indonesia Jakarta</w:t>
      </w:r>
      <w:r>
        <w:t xml:space="preserve"> </w:t>
      </w:r>
      <w:r>
        <w:t xml:space="preserve">to support such research, including digital health initiatives and hospital-based research networks.</w:t>
      </w:r>
    </w:p>
    <w:bookmarkEnd w:id="20"/>
    <w:bookmarkStart w:id="24" w:name="X02fd5b28707c9677e262cdc766d195b5250cf59"/>
    <w:p>
      <w:pPr>
        <w:pStyle w:val="Heading2"/>
      </w:pPr>
      <w:r>
        <w:t xml:space="preserve">2. The Epidemiological Transition in Indonesia Jakarta</w:t>
      </w:r>
    </w:p>
    <w:p>
      <w:pPr>
        <w:pStyle w:val="FirstParagraph"/>
      </w:pPr>
      <w:r>
        <w:t xml:space="preserve">Jakarta is currently experiencing a "double burden" of disease, a phenomenon where infectious diseases coexist with rapidly increasing rates of chronic conditions. For the</w:t>
      </w:r>
      <w:r>
        <w:t xml:space="preserve"> </w:t>
      </w:r>
      <w:r>
        <w:rPr>
          <w:bCs/>
          <w:b/>
        </w:rPr>
        <w:t xml:space="preserve">Medical Researcher</w:t>
      </w:r>
      <w:r>
        <w:t xml:space="preserve">, this dual challenge requires sophisticated study designs and longitudinal data analysis.</w:t>
      </w:r>
    </w:p>
    <w:bookmarkStart w:id="21" w:name="infectious-diseases-and-urban-density"/>
    <w:p>
      <w:pPr>
        <w:pStyle w:val="Heading3"/>
      </w:pPr>
      <w:r>
        <w:t xml:space="preserve">2.1 Infectious Diseases and Urban Density</w:t>
      </w:r>
    </w:p>
    <w:p>
      <w:pPr>
        <w:pStyle w:val="FirstParagraph"/>
      </w:pPr>
      <w:r>
        <w:t xml:space="preserve">Due to high population density and occasional sanitation issues, Jakarta remains susceptible to outbreaks of dengue fever, tuberculosis, and recently, various respiratory viral infections. The</w:t>
      </w:r>
      <w:r>
        <w:t xml:space="preserve"> </w:t>
      </w:r>
      <w:r>
        <w:rPr>
          <w:bCs/>
          <w:b/>
        </w:rPr>
        <w:t xml:space="preserve">Medical Researcher</w:t>
      </w:r>
      <w:r>
        <w:t xml:space="preserve"> </w:t>
      </w:r>
      <w:r>
        <w:t xml:space="preserve">plays a crucial role in tracking transmission vectors. In</w:t>
      </w:r>
      <w:r>
        <w:t xml:space="preserve"> </w:t>
      </w:r>
      <w:r>
        <w:rPr>
          <w:bCs/>
          <w:b/>
        </w:rPr>
        <w:t xml:space="preserve">Indonesia Jakarta</w:t>
      </w:r>
      <w:r>
        <w:t xml:space="preserve">, collaborative networks between public health departments and university hospitals have enabled real-time data collection. This allows researchers to predict outbreaks based on seasonal weather patterns and urban planning variables, such as water drainage systems.</w:t>
      </w:r>
    </w:p>
    <w:bookmarkEnd w:id="21"/>
    <w:bookmarkStart w:id="23" w:name="X75d114280106f819c9b9acc90970de2a46bbd97"/>
    <w:p>
      <w:pPr>
        <w:pStyle w:val="Heading3"/>
      </w:pPr>
      <w:r>
        <w:t xml:space="preserve">2.2 The Rise of Non-Communicable Diseases (NCDs)</w:t>
      </w:r>
    </w:p>
    <w:p>
      <w:pPr>
        <w:pStyle w:val="FirstParagraph"/>
      </w:pPr>
      <w:r>
        <w:t xml:space="preserve">Simultaneously, lifestyle changes associated with rapid urbanization in</w:t>
      </w:r>
      <w:r>
        <w:t xml:space="preserve"> </w:t>
      </w:r>
      <w:r>
        <w:rPr>
          <w:bCs/>
          <w:b/>
        </w:rPr>
        <w:t xml:space="preserve">Indonesia Jakarta</w:t>
      </w:r>
      <w:bookmarkStart w:id="22" w:name="ref1"/>
      <w:bookmarkEnd w:id="22"/>
      <w:r>
        <w:rPr>
          <w:vertAlign w:val="superscript"/>
        </w:rPr>
        <w:t xml:space="preserve">[1]</w:t>
      </w:r>
      <w:hyperlink w:anchor="ref1">
        <w:r>
          <w:rPr>
            <w:rStyle w:val="Hyperlink"/>
          </w:rPr>
          <w:t xml:space="preserve">[Back to top]</w:t>
        </w:r>
      </w:hyperlink>
      <w:r>
        <w:t xml:space="preserve"> </w:t>
      </w:r>
      <w:r>
        <w:t xml:space="preserve">have led to a surge in diabetes, hypertension, and cardiovascular diseases. The sedentary lifestyles of office workers and dietary shifts towards processed foods are significant contributors.</w:t>
      </w:r>
      <w:r>
        <w:t xml:space="preserve"> </w:t>
      </w:r>
      <w:r>
        <w:rPr>
          <w:bCs/>
          <w:b/>
        </w:rPr>
        <w:t xml:space="preserve">Medical Researcher</w:t>
      </w:r>
      <w:r>
        <w:t xml:space="preserve"> </w:t>
      </w:r>
      <w:r>
        <w:t xml:space="preserve">teams are now focusing on behavioral interventions tailored to the Javanese cultural context, recognizing that Western-centric health promotion campaigns may not be effective without local adaptation.</w:t>
      </w:r>
    </w:p>
    <w:bookmarkEnd w:id="23"/>
    <w:bookmarkEnd w:id="24"/>
    <w:bookmarkStart w:id="30" w:name="X159e6b90921f707ddc07fc722485d0a485b3f12"/>
    <w:p>
      <w:pPr>
        <w:pStyle w:val="Heading2"/>
      </w:pPr>
      <w:r>
        <w:t xml:space="preserve">3. The Strategic Role of the Medical Researcher in Healthcare Policy</w:t>
      </w:r>
    </w:p>
    <w:p>
      <w:pPr>
        <w:pStyle w:val="FirstParagraph"/>
      </w:pPr>
      <w:r>
        <w:t xml:space="preserve">In</w:t>
      </w:r>
      <w:r>
        <w:t xml:space="preserve"> </w:t>
      </w:r>
      <w:r>
        <w:rPr>
          <w:bCs/>
          <w:b/>
        </w:rPr>
        <w:t xml:space="preserve">Indonesia Jakarta</w:t>
      </w:r>
      <w:r>
        <w:t xml:space="preserve">, the gap between scientific discovery and clinical implementation has historically been wide. However, recent reforms have positioned the</w:t>
      </w:r>
    </w:p>
    <w:p>
      <w:pPr>
        <w:pStyle w:val="BodyText"/>
      </w:pPr>
      <w:r>
        <w:t xml:space="preserve">Medical Researcher</w:t>
      </w:r>
      <w:hyperlink w:anchor="ref2">
        <w:r>
          <w:rPr>
            <w:rStyle w:val="Hyperlink"/>
          </w:rPr>
          <w:t xml:space="preserve">[Back to top]</w:t>
        </w:r>
      </w:hyperlink>
      <w:r>
        <w:t xml:space="preserve"> </w:t>
      </w:r>
      <w:r>
        <w:t xml:space="preserve">as a key advisor to local government bodies.</w:t>
      </w:r>
    </w:p>
    <w:bookmarkStart w:id="26" w:name="data-driven-decision-making"/>
    <w:p>
      <w:pPr>
        <w:pStyle w:val="Heading3"/>
      </w:pPr>
      <w:r>
        <w:t xml:space="preserve">3.1 Data-Driven Decision Making</w:t>
      </w:r>
    </w:p>
    <w:p>
      <w:pPr>
        <w:pStyle w:val="FirstParagraph"/>
      </w:pPr>
      <w:r>
        <w:t xml:space="preserve">The integration of Big Data analytics in healthcare is revolutionizing how medical information is utilized.</w:t>
      </w:r>
      <w:r>
        <w:t xml:space="preserve"> </w:t>
      </w:r>
      <w:r>
        <w:rPr>
          <w:bCs/>
          <w:b/>
        </w:rPr>
        <w:t xml:space="preserve">M</w:t>
      </w:r>
      <w:bookmarkStart w:id="25" w:name="ref2"/>
      <w:bookmarkEnd w:id="25"/>
      <w:r>
        <w:rPr>
          <w:vertAlign w:val="superscript"/>
          <w:bCs/>
          <w:b/>
        </w:rPr>
        <w:t xml:space="preserve">[2]</w:t>
      </w:r>
      <w:hyperlink w:anchor="ref2">
        <w:r>
          <w:rPr>
            <w:rStyle w:val="Hyperlink"/>
            <w:bCs/>
            <w:b/>
          </w:rPr>
          <w:t xml:space="preserve">[Back to top]</w:t>
        </w:r>
      </w:hyperlink>
    </w:p>
    <w:bookmarkEnd w:id="26"/>
    <w:bookmarkStart w:id="28" w:name="X8008c62dd3d21635916d5cfe55e6d00475b574b"/>
    <w:p>
      <w:pPr>
        <w:pStyle w:val="Heading3"/>
      </w:pPr>
      <w:r>
        <w:t xml:space="preserve">4. Infrastructure and Collaborative Networks</w:t>
      </w:r>
    </w:p>
    <w:p>
      <w:pPr>
        <w:pStyle w:val="FirstParagraph"/>
      </w:pPr>
      <w:r>
        <w:t xml:space="preserve">The efficacy of a</w:t>
      </w:r>
    </w:p>
    <w:p>
      <w:pPr>
        <w:pStyle w:val="BodyText"/>
      </w:pPr>
      <w:r>
        <w:t xml:space="preserve">a name="ref4"&gt;a href="#ref4"&gt;[Back to top]5. Challenges and Future DirectionsDespite the progress, several obstacles remain for</w:t>
      </w:r>
      <w:r>
        <w:t xml:space="preserve"> </w:t>
      </w:r>
      <w:bookmarkStart w:id="27" w:name="ref6"/>
      <w:bookmarkEnd w:id="27"/>
      <w:r>
        <w:rPr>
          <w:vertAlign w:val="superscript"/>
        </w:rPr>
        <w:t xml:space="preserve">[6]</w:t>
      </w:r>
      <w:hyperlink w:anchor="ref6">
        <w:r>
          <w:rPr>
            <w:rStyle w:val="Hyperlink"/>
          </w:rPr>
          <w:t xml:space="preserve">[Back to top]</w:t>
        </w:r>
      </w:hyperlink>
    </w:p>
    <w:bookmarkEnd w:id="28"/>
    <w:bookmarkStart w:id="29" w:name="funding-and-sustainability"/>
    <w:p>
      <w:pPr>
        <w:pStyle w:val="Heading3"/>
      </w:pPr>
      <w:r>
        <w:t xml:space="preserve">5.1 Funding and Sustainability</w:t>
      </w:r>
    </w:p>
    <w:p>
      <w:pPr>
        <w:pStyle w:val="FirstParagraph"/>
      </w:pPr>
      <w:r>
        <w:t xml:space="preserve">Funding for biomedical research in Indonesia has historically been lower compared to developed nations. However, increased investment from both public sources and private pharmaceutical companies is gradually improving this situation. The</w:t>
      </w:r>
    </w:p>
    <w:p>
      <w:pPr>
        <w:pStyle w:val="BodyText"/>
      </w:pPr>
      <w:r>
        <w:t xml:space="preserve">a name="ref7"&gt;</w:t>
      </w:r>
      <w:r>
        <w:rPr>
          <w:vertAlign w:val="superscript"/>
        </w:rPr>
        <w:t xml:space="preserve">[7]</w:t>
      </w:r>
      <w:hyperlink w:anchor="ref7">
        <w:r>
          <w:rPr>
            <w:rStyle w:val="Hyperlink"/>
          </w:rPr>
          <w:t xml:space="preserve">[Back to top]</w:t>
        </w:r>
      </w:hyperlink>
    </w:p>
    <w:bookmarkEnd w:id="29"/>
    <w:bookmarkEnd w:id="30"/>
    <w:bookmarkStart w:id="31" w:name="conclusion"/>
    <w:p>
      <w:pPr>
        <w:pStyle w:val="Heading2"/>
      </w:pPr>
      <w:r>
        <w:t xml:space="preserve">6. Conclusion</w:t>
      </w:r>
    </w:p>
    <w:p>
      <w:pPr>
        <w:pStyle w:val="FirstParagraph"/>
      </w:pPr>
      <w:r>
        <w:t xml:space="preserve">The role of the</w:t>
      </w:r>
    </w:p>
    <w:p>
      <w:pPr>
        <w:pStyle w:val="BodyText"/>
      </w:pPr>
      <w:r>
        <w:t xml:space="preserve">a name="ref9"&gt;a href="#ref9"&gt;[Back to top]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Indonesia Jakarta: Bridging Local Health Challenges with Global Scientific Standards</dc:title>
  <dc:creator/>
  <dc:language>en</dc:language>
  <cp:keywords/>
  <dcterms:created xsi:type="dcterms:W3CDTF">2026-07-29T23:11:22Z</dcterms:created>
  <dcterms:modified xsi:type="dcterms:W3CDTF">2026-07-29T23:11:22Z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