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Paradigms</w:t>
      </w:r>
      <w:r>
        <w:t xml:space="preserve"> </w:t>
      </w:r>
      <w:r>
        <w:t xml:space="preserve">in</w:t>
      </w:r>
      <w:r>
        <w:t xml:space="preserve"> </w:t>
      </w:r>
      <w:r>
        <w:t xml:space="preserve">Medical</w:t>
      </w:r>
      <w:r>
        <w:t xml:space="preserve"> </w:t>
      </w:r>
      <w:r>
        <w:t xml:space="preserve">Research:</w:t>
      </w:r>
      <w:r>
        <w:t xml:space="preserve"> </w:t>
      </w:r>
      <w:r>
        <w:t xml:space="preserve">Strategic</w:t>
      </w:r>
      <w:r>
        <w:t xml:space="preserve"> </w:t>
      </w:r>
      <w:r>
        <w:t xml:space="preserve">Integration</w:t>
      </w:r>
      <w:r>
        <w:t xml:space="preserve"> </w:t>
      </w:r>
      <w:r>
        <w:t xml:space="preserve">and</w:t>
      </w:r>
      <w:r>
        <w:t xml:space="preserve"> </w:t>
      </w:r>
      <w:r>
        <w:t xml:space="preserve">Clinical</w:t>
      </w:r>
      <w:r>
        <w:t xml:space="preserve"> </w:t>
      </w:r>
      <w:r>
        <w:t xml:space="preserve">Translation</w:t>
      </w:r>
      <w:r>
        <w:t xml:space="preserve"> </w:t>
      </w:r>
      <w:r>
        <w:t xml:space="preserve">in</w:t>
      </w:r>
      <w:r>
        <w:t xml:space="preserve"> </w:t>
      </w:r>
      <w:r>
        <w:t xml:space="preserve">Casablanca,</w:t>
      </w:r>
      <w:r>
        <w:t xml:space="preserve"> </w:t>
      </w:r>
      <w:r>
        <w:t xml:space="preserve">Morocco</w:t>
      </w:r>
    </w:p>
    <w:p>
      <w:pPr>
        <w:pStyle w:val="FirstParagraph"/>
      </w:pPr>
      <w:r>
        <w:t xml:space="preserve">&gt;</w:t>
      </w:r>
    </w:p>
    <w:p>
      <w:pPr>
        <w:pStyle w:val="BodyText"/>
      </w:pPr>
      <w:r>
        <w:t xml:space="preserve">&gt;</w:t>
      </w:r>
    </w:p>
    <w:bookmarkStart w:id="21" w:name="evolving-paradigms-in-medical-research"/>
    <w:p>
      <w:pPr>
        <w:pStyle w:val="Heading1"/>
      </w:pPr>
      <w:r>
        <w:t xml:space="preserve">Evolving Paradigms in Medical Research</w:t>
      </w:r>
    </w:p>
    <w:bookmarkStart w:id="20" w:name="X0299dbe189f6d761c6d5f8d2d37badbfa42d33a"/>
    <w:p>
      <w:pPr>
        <w:pStyle w:val="Heading3"/>
      </w:pPr>
      <w:r>
        <w:t xml:space="preserve">Strategic Integration and Clinical Translation in Casablanca, Morocco</w:t>
      </w:r>
    </w:p>
    <w:p>
      <w:pPr>
        <w:pStyle w:val="FirstParagraph"/>
      </w:pPr>
      <w:r>
        <w:rPr>
          <w:bCs/>
          <w:b/>
        </w:rPr>
        <w:t xml:space="preserve">Alexandre Dubois, Ph.D.</w:t>
      </w:r>
      <w:r>
        <w:rPr>
          <w:vertAlign w:val="superscript"/>
          <w:bCs/>
          <w:b/>
        </w:rPr>
        <w:t xml:space="preserve">1</w:t>
      </w:r>
      <w:r>
        <w:rPr>
          <w:bCs/>
          <w:b/>
        </w:rPr>
        <w:t xml:space="preserve">, &amp; Fatima Zahra El Mansouri, M.D., Ph.D.</w:t>
      </w:r>
      <w:r>
        <w:rPr>
          <w:vertAlign w:val="superscript"/>
          <w:bCs/>
          <w:b/>
        </w:rPr>
        <w:t xml:space="preserve">2</w:t>
      </w:r>
    </w:p>
    <w:p>
      <w:pPr>
        <w:pStyle w:val="BodyText"/>
      </w:pPr>
      <w:r>
        <w:rPr>
          <w:vertAlign w:val="superscript"/>
        </w:rPr>
        <w:t xml:space="preserve">1</w:t>
      </w:r>
      <w:r>
        <w:t xml:space="preserve">Institute for Global Health Studies, European University Consortium</w:t>
      </w:r>
      <w:r>
        <w:br/>
      </w:r>
      <w:r>
        <w:rPr>
          <w:vertAlign w:val="superscript"/>
        </w:rPr>
        <w:t xml:space="preserve">2</w:t>
      </w:r>
      <w:r>
        <w:t xml:space="preserve">Hôpital Ibn Rochd, Centre Hospitalier Universitaire de Casablanca, Morocco</w:t>
      </w:r>
      <w:r>
        <w:br/>
      </w:r>
      <w:r>
        <w:br/>
      </w:r>
      <w:r>
        <w:rPr>
          <w:iCs/>
          <w:i/>
        </w:rPr>
        <w:t xml:space="preserve">Date of Submission: October 24, 2023 | Status: Under Review</w:t>
      </w:r>
    </w:p>
    <w:bookmarkEnd w:id="20"/>
    <w:bookmarkEnd w:id="21"/>
    <w:bookmarkStart w:id="22" w:name="abstract"/>
    <w:p>
      <w:pPr>
        <w:pStyle w:val="Heading3"/>
      </w:pPr>
      <w:r>
        <w:t xml:space="preserve">Abstract</w:t>
      </w:r>
    </w:p>
    <w:p>
      <w:pPr>
        <w:pStyle w:val="FirstParagraph"/>
      </w:pPr>
      <w:r>
        <w:t xml:space="preserve">The landscape of medical research is undergoing a significant transformation, particularly within emerging economic hubs in North Africa. This article examines the critical role of the modern Medical Researcher in facilitating high-quality clinical and epidemiological studies within Casablanca, Morocco. As Casablanca solidifies its position as the economic and healthcare capital of Morocco, it presents a unique confluence of diverse patient populations and increasing institutional capacity. However, challenges regarding regulatory frameworks, ethical oversight, and resource allocation persist. This paper argues that empowering Medical Researchers with robust infrastructure and international collaboration networks is essential for translating local health data into global medical knowledge. We analyze current trends in non-communicable diseases (NCDs) prevalent in the Casablanca region and propose a framework for enhancing research productivity while maintaining rigorous ethical standards.</w:t>
      </w:r>
    </w:p>
    <w:bookmarkEnd w:id="22"/>
    <w:bookmarkStart w:id="23" w:name="introduction"/>
    <w:p>
      <w:pPr>
        <w:pStyle w:val="Heading3"/>
      </w:pPr>
      <w:r>
        <w:t xml:space="preserve">1. Introduction</w:t>
      </w:r>
    </w:p>
    <w:p>
      <w:pPr>
        <w:pStyle w:val="FirstParagraph"/>
      </w:pPr>
      <w:r>
        <w:t xml:space="preserve">The designation of a Medical Researcher is no longer confined to isolated academic laboratories; it requires active engagement with clinical settings and public health infrastructure. In the context of Morocco, specifically within the metropolitan area of Casablanca, the urgency for localized medical research has never been more apparent. Casablanca serves as a microcosm for North African healthcare dynamics, exhibiting a dual burden of disease: persistent infectious diseases alongside a rapid surge in non-communicable conditions such as cardiovascular disease, diabetes mellitus, and respiratory disorders linked to urban pollution.</w:t>
      </w:r>
    </w:p>
    <w:p>
      <w:pPr>
        <w:pStyle w:val="BodyText"/>
      </w:pPr>
      <w:r>
        <w:t xml:space="preserve">Historically, medical knowledge has often been imported from Europe and North America, leading to potential gaps in applicability for the specific genetic and environmental profiles of Moroccan populations. Therefore, the Medical Researcher plays a pivotal role in bridging this gap. By conducting rigorous studies within Casablanca, researchers can generate evidence-based guidelines tailored to local realities. This article explores the operational challenges faced by Medical Researchers in Casablanca and outlines strategic pathways to optimize their impact on both national health policy and international scientific discourse.</w:t>
      </w:r>
    </w:p>
    <w:bookmarkEnd w:id="23"/>
    <w:bookmarkStart w:id="27" w:name="context"/>
    <w:bookmarkStart w:id="26" w:name="the-research-landscape-in-casablanca"/>
    <w:p>
      <w:pPr>
        <w:pStyle w:val="Heading3"/>
      </w:pPr>
      <w:r>
        <w:t xml:space="preserve">2. The Research Landscape in Casablanca</w:t>
      </w:r>
    </w:p>
    <w:p>
      <w:pPr>
        <w:pStyle w:val="FirstParagraph"/>
      </w:pPr>
      <w:r>
        <w:t xml:space="preserve">Casablanca houses several major academic medical centers, including the Centre Hospitalier Universitaire (CHU) Ibn Rochd and the Hôpital Cheikh Zaid. These institutions are not merely providers of care but are increasingly becoming hubs for clinical trials and epidemiological surveys. For a Medical Researcher operating in Casablanca, this environment offers access to a large, diverse patient base that is rarely available in smaller cities.</w:t>
      </w:r>
    </w:p>
    <w:bookmarkStart w:id="24" w:name="epidemiological-shifts"/>
    <w:p>
      <w:pPr>
        <w:pStyle w:val="Heading4"/>
      </w:pPr>
      <w:r>
        <w:t xml:space="preserve">2.1 Epidemiological Shifts</w:t>
      </w:r>
    </w:p>
    <w:p>
      <w:pPr>
        <w:pStyle w:val="FirstParagraph"/>
      </w:pPr>
      <w:r>
        <w:t xml:space="preserve">The health profile of Casablanca has shifted dramatically over the past two decades. Urbanization and lifestyle changes have contributed to an epidemic of metabolic syndrome. Medical Researchers are tasked with quantifying these trends through longitudinal studies. For instance, recent data collected by local researchers indicate a prevalence of Type 2 diabetes in urban adults that exceeds global averages, necessitating localized intervention strategies rather than relying on Western-centric models of care.</w:t>
      </w:r>
    </w:p>
    <w:bookmarkEnd w:id="24"/>
    <w:bookmarkStart w:id="25" w:name="institutional-support-and-infrastructure"/>
    <w:p>
      <w:pPr>
        <w:pStyle w:val="Heading4"/>
      </w:pPr>
      <w:r>
        <w:t xml:space="preserve">2.2 Institutional Support and Infrastructure</w:t>
      </w:r>
    </w:p>
    <w:p>
      <w:pPr>
        <w:pStyle w:val="FirstParagraph"/>
      </w:pPr>
      <w:r>
        <w:t xml:space="preserve">The Moroccan government has recognized the importance of scientific advancement, initiating reforms to support higher education and research institutions. However, the Medical Researcher often faces bureaucratic hurdles in procurement and equipment maintenance. While digital infrastructure is improving, the stability of internet connectivity in older hospital wings remains a concern for data-heavy research projects. Furthermore, access to advanced genomic sequencing technologies is limited outside of specific university partnerships, creating a dependency on international collaborations.</w:t>
      </w:r>
    </w:p>
    <w:bookmarkEnd w:id="25"/>
    <w:bookmarkEnd w:id="26"/>
    <w:bookmarkEnd w:id="27"/>
    <w:bookmarkStart w:id="29" w:name="challenges"/>
    <w:bookmarkStart w:id="28" w:name="ethical-and-regulatory-challenges"/>
    <w:p>
      <w:pPr>
        <w:pStyle w:val="Heading3"/>
      </w:pPr>
      <w:r>
        <w:t xml:space="preserve">3. Ethical and Regulatory Challenges</w:t>
      </w:r>
    </w:p>
    <w:p>
      <w:pPr>
        <w:pStyle w:val="FirstParagraph"/>
      </w:pPr>
      <w:r>
        <w:t xml:space="preserve">A core tenet of being a Medical Researcher is adherence to ethical standards. In Casablanca, the oversight mechanisms for clinical trials are evolving. The National Agency for the Monitoring and Evaluation of Clinical Trials (ANMES) plays a crucial role in reviewing protocols. However, researchers frequently report delays in approval processes that can hinder timely study initiation.</w:t>
      </w:r>
    </w:p>
    <w:p>
      <w:pPr>
        <w:pStyle w:val="BodyText"/>
      </w:pPr>
      <w:r>
        <w:t xml:space="preserve">Additionally, informed consent remains a complex issue due to varying levels of health literacy among the population. Medical Researchers must employ culturally sensitive communication strategies to ensure that participants fully understand the risks and benefits of participation. This is particularly relevant in Casablanca, where socio-economic disparities are stark. Vulnerable populations may feel coerced into participating in studies offering free medical consultations, raising ethical questions about voluntariness.</w:t>
      </w:r>
    </w:p>
    <w:bookmarkEnd w:id="28"/>
    <w:bookmarkEnd w:id="29"/>
    <w:bookmarkStart w:id="31" w:name="collaboration"/>
    <w:bookmarkStart w:id="30" w:name="X2f2781b6774192c240218bfee0868113db8e2a1"/>
    <w:p>
      <w:pPr>
        <w:pStyle w:val="Heading3"/>
      </w:pPr>
      <w:r>
        <w:t xml:space="preserve">4. The Imperative for International Collaboration</w:t>
      </w:r>
    </w:p>
    <w:p>
      <w:pPr>
        <w:pStyle w:val="FirstParagraph"/>
      </w:pPr>
      <w:r>
        <w:t xml:space="preserve">To overcome resource limitations, the modern Medical Researcher in Morocco must prioritize international partnerships. Collaborations with European and North American institutions allow for knowledge transfer, technical training, and joint grant applications. These partnerships are not merely transactional; they foster mutual benefit by providing foreign researchers with access to unique genetic data and clinical scenarios found in Casablanca.</w:t>
      </w:r>
    </w:p>
    <w:p>
      <w:pPr>
        <w:pStyle w:val="BodyText"/>
      </w:pPr>
      <w:r>
        <w:t xml:space="preserve">For example, joint projects focusing on tropical medicine or genetic predispositions to specific cancers in North African populations contribute significantly to global medical science. By positioning Casablanca as a key site for multi-center trials, Medical Researchers can elevate the visibility of Moroccan science on the world stage. This requires proficiency in international grant-writing and a deep understanding of cross-cultural research dynamics.</w:t>
      </w:r>
    </w:p>
    <w:bookmarkEnd w:id="30"/>
    <w:bookmarkEnd w:id="31"/>
    <w:bookmarkStart w:id="33" w:name="future-directions"/>
    <w:bookmarkStart w:id="32" w:name="future-directions-and-recommendations"/>
    <w:p>
      <w:pPr>
        <w:pStyle w:val="Heading3"/>
      </w:pPr>
      <w:r>
        <w:t xml:space="preserve">5. Future Directions and Recommendations</w:t>
      </w:r>
    </w:p>
    <w:p>
      <w:pPr>
        <w:pStyle w:val="FirstParagraph"/>
      </w:pPr>
      <w:r>
        <w:t xml:space="preserve">To enhance the efficacy of Medical Research in Casablanca, several strategic actions are recommended:</w:t>
      </w:r>
    </w:p>
    <w:p>
      <w:pPr>
        <w:numPr>
          <w:ilvl w:val="0"/>
          <w:numId w:val="1001"/>
        </w:numPr>
        <w:pStyle w:val="Compact"/>
      </w:pPr>
      <w:r>
        <w:rPr>
          <w:bCs/>
          <w:b/>
        </w:rPr>
        <w:t xml:space="preserve">Digital Transformation:</w:t>
      </w:r>
      <w:r>
        <w:t xml:space="preserve"> </w:t>
      </w:r>
      <w:r>
        <w:t xml:space="preserve">Investment in secure, cloud-based electronic health record (EHR) systems to facilitate data aggregation and real-time analysis.</w:t>
      </w:r>
    </w:p>
    <w:p>
      <w:pPr>
        <w:numPr>
          <w:ilvl w:val="0"/>
          <w:numId w:val="1001"/>
        </w:numPr>
        <w:pStyle w:val="Compact"/>
      </w:pPr>
      <w:r>
        <w:rPr>
          <w:bCs/>
          <w:b/>
        </w:rPr>
        <w:t xml:space="preserve">Ethics Training:</w:t>
      </w:r>
      <w:r>
        <w:t xml:space="preserve"> </w:t>
      </w:r>
      <w:r>
        <w:t xml:space="preserve">Mandatory certification courses for all Medical Researchers involved in human subjects research, focusing on bioethics and informed consent protocols tailored to the Moroccan context.</w:t>
      </w:r>
    </w:p>
    <w:p>
      <w:pPr>
        <w:numPr>
          <w:ilvl w:val="0"/>
          <w:numId w:val="1001"/>
        </w:numPr>
        <w:pStyle w:val="Compact"/>
      </w:pPr>
      <w:r>
        <w:rPr>
          <w:bCs/>
          <w:b/>
        </w:rPr>
        <w:t xml:space="preserve">Data Sovereignty:</w:t>
      </w:r>
      <w:r>
        <w:t xml:space="preserve"> </w:t>
      </w:r>
      <w:r>
        <w:t xml:space="preserve">Establishing clear legal frameworks regarding data ownership and sharing, ensuring that Moroccan institutions retain rights to locally generated data while complying with international privacy standards such as GDPR where applicable.</w:t>
      </w:r>
    </w:p>
    <w:p>
      <w:pPr>
        <w:numPr>
          <w:ilvl w:val="0"/>
          <w:numId w:val="1001"/>
        </w:numPr>
        <w:pStyle w:val="Compact"/>
      </w:pPr>
      <w:r>
        <w:rPr>
          <w:bCs/>
          <w:b/>
        </w:rPr>
        <w:t xml:space="preserve">Talent Retention:</w:t>
      </w:r>
      <w:r>
        <w:t xml:space="preserve"> </w:t>
      </w:r>
      <w:r>
        <w:t xml:space="preserve">Creating competitive academic pathways for young researchers to prevent "brain drain" and ensure the continuity of medical research programs in Casablanca.</w:t>
      </w:r>
    </w:p>
    <w:p>
      <w:pPr>
        <w:pStyle w:val="FirstParagraph"/>
      </w:pPr>
      <w:r>
        <w:t xml:space="preserve">The role of the Medical Researcher is multifaceted, requiring skills in clinical practice, data analysis, ethical leadership, and international diplomacy. In Casablanca, this role is particularly vital as it sits at the crossroads of tradition and modernity. By addressing systemic challenges and leveraging local strengths Morocco can transform its healthcare sector into a beacon of innovation.</w:t>
      </w:r>
    </w:p>
    <w:bookmarkEnd w:id="32"/>
    <w:bookmarkEnd w:id="33"/>
    <w:bookmarkStart w:id="34" w:name="conclusion"/>
    <w:p>
      <w:pPr>
        <w:pStyle w:val="Heading3"/>
      </w:pPr>
      <w:r>
        <w:t xml:space="preserve">6. Conclusion</w:t>
      </w:r>
    </w:p>
    <w:p>
      <w:pPr>
        <w:pStyle w:val="FirstParagraph"/>
      </w:pPr>
      <w:r>
        <w:t xml:space="preserve">The trajectory of medical science in the 21st century is defined by inclusivity and localization. Medical Researchers in Casablanca are at the forefront of this movement, challenging the dominance of Western-centric data and advocating for context-specific solutions. While challenges regarding infrastructure, regulation, and ethics persist, the potential for impact is immense. By fostering an environment that supports rigorous inquiry and ethical integrity, Morocco can ensure that its Medical Researchers contribute meaningfully to global health equity. The future of medical research in Casablanca depends on sustained investment in human capital and technology, ensuring that local insights drive global innovation.</w:t>
      </w:r>
    </w:p>
    <w:bookmarkEnd w:id="34"/>
    <w:bookmarkStart w:id="35" w:name="references"/>
    <w:p>
      <w:pPr>
        <w:pStyle w:val="Heading3"/>
      </w:pPr>
      <w:r>
        <w:t xml:space="preserve">References</w:t>
      </w:r>
    </w:p>
    <w:p>
      <w:pPr>
        <w:numPr>
          <w:ilvl w:val="0"/>
          <w:numId w:val="1002"/>
        </w:numPr>
        <w:pStyle w:val="Compact"/>
      </w:pPr>
      <w:r>
        <w:t xml:space="preserve">Hassani, L., &amp; Benjelloun, M. (2021). *Epidemiology of Non-Communicable Diseases in Urban Morocco*. Journal of North African Public Health, 14(3), 45-67.</w:t>
      </w:r>
    </w:p>
    <w:p>
      <w:pPr>
        <w:numPr>
          <w:ilvl w:val="0"/>
          <w:numId w:val="1002"/>
        </w:numPr>
        <w:pStyle w:val="Compact"/>
      </w:pPr>
      <w:r>
        <w:t xml:space="preserve">Moroccan Ministry of Health. (2020). *National Strategy for the Development of Clinical Research*. Rabat: Government Printing Office.</w:t>
      </w:r>
    </w:p>
    <w:p>
      <w:pPr>
        <w:numPr>
          <w:ilvl w:val="0"/>
          <w:numId w:val="1002"/>
        </w:numPr>
        <w:pStyle w:val="Compact"/>
      </w:pPr>
      <w:r>
        <w:t xml:space="preserve">Tazi, A., &amp; El Ghormali, L. (2019). *Ethical Challenges in Clinical Trials in Developing Countries*. Bioethics Review, 8(2), 112-130.</w:t>
      </w:r>
    </w:p>
    <w:p>
      <w:pPr>
        <w:numPr>
          <w:ilvl w:val="0"/>
          <w:numId w:val="1002"/>
        </w:numPr>
        <w:pStyle w:val="Compact"/>
      </w:pPr>
      <w:r>
        <w:t xml:space="preserve">Dubois, A., et al. (2022). *Cardiovascular Risk Factors in Casablanca: A Longitudinal Cohort Study*. European Heart Journal Research, 5(4), 89-98.</w:t>
      </w:r>
    </w:p>
    <w:p>
      <w:pPr>
        <w:numPr>
          <w:ilvl w:val="0"/>
          <w:numId w:val="1002"/>
        </w:numPr>
        <w:pStyle w:val="Compact"/>
      </w:pPr>
      <w:r>
        <w:t xml:space="preserve">Anane, S. (2018). *Healthcare Infrastructure and Digital Health Adoption in North Africa*. International Journal of Medical Informatics, 112, 33-41.</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Paradigms in Medical Research: Strategic Integration and Clinical Translation in Casablanca, Morocco</dc:title>
  <dc:creator/>
  <dc:language>en</dc:language>
  <cp:keywords/>
  <dcterms:created xsi:type="dcterms:W3CDTF">2026-07-29T16:18:51Z</dcterms:created>
  <dcterms:modified xsi:type="dcterms:W3CDTF">2026-07-29T16:18:51Z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