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Pioneering</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Modern</w:t>
      </w:r>
      <w:r>
        <w:t xml:space="preserve"> </w:t>
      </w:r>
      <w:r>
        <w:t xml:space="preserve">Biomedical</w:t>
      </w:r>
      <w:r>
        <w:t xml:space="preserve"> </w:t>
      </w:r>
      <w:r>
        <w:t xml:space="preserve">Advances</w:t>
      </w:r>
    </w:p>
    <w:bookmarkStart w:id="27" w:name="X6ecb024b1af13845561ce08e0144392fb30422c"/>
    <w:p>
      <w:pPr>
        <w:pStyle w:val="Heading1"/>
      </w:pPr>
      <w:r>
        <w:t xml:space="preserve">The Pioneering Medical Researcher in the Netherlands Amsterdam: A Comprehensive Review of Modern Biomedical Advances and Institutional Frameworks</w:t>
      </w:r>
    </w:p>
    <w:p>
      <w:pPr>
        <w:pStyle w:val="FirstParagraph"/>
      </w:pPr>
      <w:r>
        <w:rPr>
          <w:iCs/>
          <w:i/>
          <w:bCs/>
          <w:b/>
        </w:rPr>
        <w:t xml:space="preserve">Absolute Medical Science Journal of International Studies — Vol. 42, Issue 3, Autumn 2023</w:t>
      </w:r>
    </w:p>
    <w:bookmarkStart w:id="20" w:name="abstract"/>
    <w:p>
      <w:pPr>
        <w:pStyle w:val="Heading3"/>
      </w:pPr>
      <w:r>
        <w:t xml:space="preserve">Abstract</w:t>
      </w:r>
    </w:p>
    <w:p>
      <w:pPr>
        <w:pStyle w:val="FirstParagraph"/>
      </w:pPr>
      <w:r>
        <w:t xml:space="preserve">This article explores the pivotal role of the</w:t>
      </w:r>
      <w:r>
        <w:t xml:space="preserve"> </w:t>
      </w:r>
      <w:r>
        <w:rPr>
          <w:bCs/>
          <w:b/>
        </w:rPr>
        <w:t xml:space="preserve">Medical Researcher</w:t>
      </w:r>
      <w:r>
        <w:t xml:space="preserve"> </w:t>
      </w:r>
      <w:r>
        <w:t xml:space="preserve">within the dynamic and highly structured academic landscape of Amsterdam, Netherlands. As global health challenges become increasingly complex, the integration of cutting-edge technology, ethical rigor, and interdisciplinary collaboration has defined modern biomedical inquiry. This paper examines how institutions in Amsterdam have fostered an environment where the</w:t>
      </w:r>
      <w:r>
        <w:t xml:space="preserve"> </w:t>
      </w:r>
      <w:r>
        <w:rPr>
          <w:bCs/>
          <w:b/>
        </w:rPr>
        <w:t xml:space="preserve">Medical Researcher</w:t>
      </w:r>
      <w:r>
        <w:t xml:space="preserve"> </w:t>
      </w:r>
      <w:r>
        <w:t xml:space="preserve">can thrive, contributing to breakthroughs in genomics, infectious disease modeling, and digital health interventions. By analyzing case studies from leading universities and hospital networks in the region, we highlight the specific methodologies employed by today's researchers. Furthermore, this article discusses the socio-political context of healthcare funding in Amsterdam and how it influences research priorities. The findings suggest that the unique ecosystem provided by Amsterdam supports a high degree of innovation, positioning local</w:t>
      </w:r>
      <w:r>
        <w:t xml:space="preserve"> </w:t>
      </w:r>
      <w:r>
        <w:rPr>
          <w:bCs/>
          <w:b/>
        </w:rPr>
        <w:t xml:space="preserve">Medical Researcher</w:t>
      </w:r>
      <w:r>
        <w:t xml:space="preserve"> </w:t>
      </w:r>
      <w:r>
        <w:t xml:space="preserve">professionals as key actors in European and global health policy.</w:t>
      </w:r>
    </w:p>
    <w:bookmarkEnd w:id="20"/>
    <w:bookmarkStart w:id="21" w:name="i.-introduction"/>
    <w:p>
      <w:pPr>
        <w:pStyle w:val="Heading2"/>
      </w:pPr>
      <w:r>
        <w:t xml:space="preserve">I. Introduction</w:t>
      </w:r>
    </w:p>
    <w:p>
      <w:pPr>
        <w:pStyle w:val="FirstParagraph"/>
      </w:pPr>
      <w:r>
        <w:t xml:space="preserve">The contemporary landscape of medical science is characterized by an unprecedented rate of technological advancement and data accumulation. Within this context, the identity and function of the</w:t>
      </w:r>
      <w:r>
        <w:t xml:space="preserve"> </w:t>
      </w:r>
      <w:r>
        <w:rPr>
          <w:bCs/>
          <w:b/>
        </w:rPr>
        <w:t xml:space="preserve">Medical Researcher</w:t>
      </w:r>
      <w:r>
        <w:rPr>
          <w:iCs/>
          <w:i/>
        </w:rPr>
        <w:t xml:space="preserve">—</w:t>
      </w:r>
      <w:r>
        <w:t xml:space="preserve">a professional dedicated to the systematic investigation of biological phenomena for therapeutic or preventative application</w:t>
      </w:r>
      <w:r>
        <w:rPr>
          <w:iCs/>
          <w:i/>
        </w:rPr>
        <w:t xml:space="preserve">—</w:t>
      </w:r>
      <w:r>
        <w:t xml:space="preserve">have evolved significantly. Nowhere is this evolution more evident than in Amsterdam, Netherlands. Historically a hub for trade and enlightenment, Amsterdam has transitioned into a global center for biomedical innovation, driven by its world-renowned university hospitals and research institutes.</w:t>
      </w:r>
    </w:p>
    <w:p>
      <w:pPr>
        <w:pStyle w:val="BodyText"/>
      </w:pPr>
      <w:r>
        <w:t xml:space="preserve">The significance of conducting research in the Netherlands Amsterdam cannot be overstated. The city’s academic institutions provide a unique blend of historical prestige and modern agility. For the</w:t>
      </w:r>
      <w:r>
        <w:t xml:space="preserve"> </w:t>
      </w:r>
      <w:r>
        <w:rPr>
          <w:bCs/>
          <w:b/>
        </w:rPr>
        <w:t xml:space="preserve">Medical Researcher</w:t>
      </w:r>
      <w:r>
        <w:t xml:space="preserve">, this environment offers access to diverse patient populations, state-of-the-art laboratory facilities, and robust international collaboration networks. This article aims to dissect the operational framework that supports these researchers, analyzing how their work contributes to broader scientific discourse and public health outcomes.</w:t>
      </w:r>
    </w:p>
    <w:bookmarkEnd w:id="21"/>
    <w:bookmarkStart w:id="22" w:name="Xdfe1aa21be43ae45320651099ace9ac28b15f91"/>
    <w:p>
      <w:pPr>
        <w:pStyle w:val="Heading2"/>
      </w:pPr>
      <w:r>
        <w:t xml:space="preserve">II. The Institutional Ecosystem of Amsterdam</w:t>
      </w:r>
    </w:p>
    <w:p>
      <w:pPr>
        <w:pStyle w:val="FirstParagraph"/>
      </w:pPr>
      <w:r>
        <w:t xml:space="preserve">To understand the impact of the</w:t>
      </w:r>
      <w:r>
        <w:t xml:space="preserve"> </w:t>
      </w:r>
      <w:r>
        <w:rPr>
          <w:bCs/>
          <w:b/>
        </w:rPr>
        <w:t xml:space="preserve">Medical Researcher</w:t>
      </w:r>
      <w:r>
        <w:t xml:space="preserve">, one must first appreciate the infrastructure that sustains them. In Netherlands Amsterdam, biomedical research is largely anchored by two major pillars: academic medical centers and specialized research institutes. These entities operate under a framework that emphasizes translational medicine—the process of turning discoveries in basic research into practical applications for patient care.</w:t>
      </w:r>
    </w:p>
    <w:p>
      <w:pPr>
        <w:pStyle w:val="BodyText"/>
      </w:pPr>
      <w:r>
        <w:t xml:space="preserve">For the dedicated</w:t>
      </w:r>
      <w:r>
        <w:t xml:space="preserve"> </w:t>
      </w:r>
      <w:r>
        <w:rPr>
          <w:bCs/>
          <w:b/>
        </w:rPr>
        <w:t xml:space="preserve">Medical Researcher</w:t>
      </w:r>
      <w:r>
        <w:t xml:space="preserve">, this means that the gap between laboratory bench and bedside is significantly narrowed. The integration of clinical practice with academic inquiry allows researchers to observe disease progression in real-time, gather high-fidelity data, and immediately test therapeutic hypotheses. This cyclical model is particularly effective in Netherlands Amsterdam, where healthcare providers are mandated to engage in continuous professional development through research activities.</w:t>
      </w:r>
    </w:p>
    <w:p>
      <w:pPr>
        <w:pStyle w:val="BodyText"/>
      </w:pPr>
      <w:r>
        <w:t xml:space="preserve">Moreover, the geographical concentration of these institutions facilitates cross-pollination of ideas. A</w:t>
      </w:r>
      <w:r>
        <w:t xml:space="preserve"> </w:t>
      </w:r>
      <w:r>
        <w:rPr>
          <w:bCs/>
          <w:b/>
        </w:rPr>
        <w:t xml:space="preserve">Medical Researcher</w:t>
      </w:r>
      <w:r>
        <w:t xml:space="preserve"> </w:t>
      </w:r>
      <w:r>
        <w:t xml:space="preserve">working on neural networks at one institution can easily collaborate with a data scientist at a neighboring tech hub. This density of expertise is rare and contributes to the high output quality associated with Amsterdam-based biomedical studies.</w:t>
      </w:r>
    </w:p>
    <w:bookmarkEnd w:id="22"/>
    <w:bookmarkStart w:id="23" w:name="Xa748a0612d06b682f6e68863a67b36a731e738e"/>
    <w:p>
      <w:pPr>
        <w:pStyle w:val="Heading2"/>
      </w:pPr>
      <w:r>
        <w:t xml:space="preserve">III. Methodological Rigor and Ethical Standards</w:t>
      </w:r>
    </w:p>
    <w:p>
      <w:pPr>
        <w:pStyle w:val="FirstParagraph"/>
      </w:pPr>
      <w:r>
        <w:t xml:space="preserve">The credibility of any scientific finding rests on methodological rigor, a trait that is heavily emphasized in the training and daily practice of the</w:t>
      </w:r>
      <w:r>
        <w:t xml:space="preserve"> </w:t>
      </w:r>
      <w:r>
        <w:rPr>
          <w:bCs/>
          <w:b/>
        </w:rPr>
        <w:t xml:space="preserve">Medical Researcher</w:t>
      </w:r>
      <w:r>
        <w:t xml:space="preserve">. In Netherlands Amsterdam, ethical standards are particularly stringent. The oversight committees governing human subject research enforce protocols that exceed many international norms, ensuring patient safety and data privacy.</w:t>
      </w:r>
    </w:p>
    <w:p>
      <w:pPr>
        <w:pStyle w:val="BodyText"/>
      </w:pPr>
      <w:r>
        <w:t xml:space="preserve">This rigorous approach impacts how a</w:t>
      </w:r>
      <w:r>
        <w:t xml:space="preserve"> </w:t>
      </w:r>
      <w:r>
        <w:rPr>
          <w:bCs/>
          <w:b/>
        </w:rPr>
        <w:t xml:space="preserve">Medical Researcher</w:t>
      </w:r>
      <w:r>
        <w:t xml:space="preserve"> </w:t>
      </w:r>
      <w:r>
        <w:t xml:space="preserve">designs studies. There is a strong emphasis on reproducibility and open science. Recent initiatives in Amsterdam have pushed for the pre-registration of clinical trials and the sharing of raw datasets with peer review processes. For the independent or employed</w:t>
      </w:r>
      <w:r>
        <w:t xml:space="preserve"> </w:t>
      </w:r>
      <w:r>
        <w:rPr>
          <w:bCs/>
          <w:b/>
        </w:rPr>
        <w:t xml:space="preserve">Medical Researcher</w:t>
      </w:r>
      <w:r>
        <w:t xml:space="preserve">, this transparency is both a challenge and an opportunity. It demands higher standards of statistical literacy but also increases the visibility and trustworthiness of their published work.</w:t>
      </w:r>
    </w:p>
    <w:p>
      <w:pPr>
        <w:pStyle w:val="BodyText"/>
      </w:pPr>
      <w:r>
        <w:t xml:space="preserve">Furthermore, the multicultural nature of Amsterdam’s population provides a rich demographic tapestry for epidemiological studies. A</w:t>
      </w:r>
      <w:r>
        <w:t xml:space="preserve"> </w:t>
      </w:r>
      <w:r>
        <w:rPr>
          <w:bCs/>
          <w:b/>
        </w:rPr>
        <w:t xml:space="preserve">Medical Researcher</w:t>
      </w:r>
      <w:r>
        <w:t xml:space="preserve"> </w:t>
      </w:r>
      <w:r>
        <w:t xml:space="preserve">leveraging this diversity can uncover health disparities that might be missed in more homogenous populations. This inclusivity is not merely a social good but a scientific necessity for developing universally applicable treatments.</w:t>
      </w:r>
    </w:p>
    <w:bookmarkEnd w:id="23"/>
    <w:bookmarkStart w:id="24" w:name="X7a52789bb7367061be1350f655d52196436703a"/>
    <w:p>
      <w:pPr>
        <w:pStyle w:val="Heading2"/>
      </w:pPr>
      <w:r>
        <w:t xml:space="preserve">IV. Key Areas of Innovation: Genomics and Digital Health</w:t>
      </w:r>
    </w:p>
    <w:p>
      <w:pPr>
        <w:pStyle w:val="FirstParagraph"/>
      </w:pPr>
      <w:r>
        <w:t xml:space="preserve">A significant portion of current output from the Amsterdam research community focuses on genomics and digital health. As the price of sequencing genomes drops, the role of the</w:t>
      </w:r>
      <w:r>
        <w:t xml:space="preserve"> </w:t>
      </w:r>
      <w:r>
        <w:rPr>
          <w:bCs/>
          <w:b/>
        </w:rPr>
        <w:t xml:space="preserve">Medical Researcher</w:t>
      </w:r>
      <w:r>
        <w:t xml:space="preserve"> </w:t>
      </w:r>
      <w:r>
        <w:t xml:space="preserve">has shifted from mere data generation to complex data interpretation. In Netherlands Amsterdam, bioinformatics is no longer a support function but a core component of medical inquiry.</w:t>
      </w:r>
    </w:p>
    <w:p>
      <w:pPr>
        <w:pStyle w:val="BodyText"/>
      </w:pPr>
      <w:r>
        <w:rPr>
          <w:bCs/>
          <w:b/>
        </w:rPr>
        <w:t xml:space="preserve">A. Genomic Medicine</w:t>
      </w:r>
      <w:r>
        <w:br/>
      </w:r>
      <w:r>
        <w:t xml:space="preserve">Researchers in this field are utilizing large-scale biobanks to identify genetic markers associated with common diseases such as cardiovascular disorders and type 2 diabetes. The</w:t>
      </w:r>
      <w:r>
        <w:t xml:space="preserve"> </w:t>
      </w:r>
      <w:r>
        <w:rPr>
          <w:bCs/>
          <w:b/>
        </w:rPr>
        <w:t xml:space="preserve">Medical Researcher</w:t>
      </w:r>
      <w:r>
        <w:t xml:space="preserve"> </w:t>
      </w:r>
      <w:r>
        <w:t xml:space="preserve">in this domain must possess dual competencies: deep biological knowledge and advanced computational skills. Amsterdam’s institutes have invested heavily in AI-driven tools that assist the</w:t>
      </w:r>
      <w:r>
        <w:t xml:space="preserve"> </w:t>
      </w:r>
      <w:r>
        <w:rPr>
          <w:bCs/>
          <w:b/>
        </w:rPr>
        <w:t xml:space="preserve">Medical Researcher</w:t>
      </w:r>
      <w:r>
        <w:t xml:space="preserve"> </w:t>
      </w:r>
      <w:r>
        <w:t xml:space="preserve">in sifting through petabytes of genetic data, accelerating the discovery process.</w:t>
      </w:r>
    </w:p>
    <w:p>
      <w:pPr>
        <w:pStyle w:val="BodyText"/>
      </w:pPr>
      <w:r>
        <w:rPr>
          <w:bCs/>
          <w:b/>
        </w:rPr>
        <w:t xml:space="preserve">B. Digital Health Interventions</w:t>
      </w:r>
      <w:r>
        <w:br/>
      </w:r>
      <w:r>
        <w:t xml:space="preserve">Parallel to genomic advances, there is a surge in digital health research. This includes telemedicine platforms, wearable sensor technology for continuous monitoring, and algorithmic diagnostic support systems. The</w:t>
      </w:r>
      <w:r>
        <w:t xml:space="preserve"> </w:t>
      </w:r>
      <w:r>
        <w:rPr>
          <w:bCs/>
          <w:b/>
        </w:rPr>
        <w:t xml:space="preserve">Medical Researcher</w:t>
      </w:r>
      <w:r>
        <w:t xml:space="preserve"> </w:t>
      </w:r>
      <w:r>
        <w:t xml:space="preserve">here collaborates with engineers and UX designers to create tools that are not only scientifically valid but also user-friendly for patients. In Netherlands Amsterdam, pilot programs for remote patient monitoring have shown promising results in reducing hospital readmissions, a testament to the applied nature of this research.</w:t>
      </w:r>
    </w:p>
    <w:bookmarkEnd w:id="24"/>
    <w:bookmarkStart w:id="25" w:name="v.-challenges-and-future-directions"/>
    <w:p>
      <w:pPr>
        <w:pStyle w:val="Heading2"/>
      </w:pPr>
      <w:r>
        <w:t xml:space="preserve">V. Challenges and Future Directions</w:t>
      </w:r>
    </w:p>
    <w:p>
      <w:pPr>
        <w:pStyle w:val="FirstParagraph"/>
      </w:pPr>
      <w:r>
        <w:t xml:space="preserve">Despite its strengths, the environment for the</w:t>
      </w:r>
      <w:r>
        <w:t xml:space="preserve"> </w:t>
      </w:r>
      <w:r>
        <w:rPr>
          <w:bCs/>
          <w:b/>
        </w:rPr>
        <w:t xml:space="preserve">Medical Researcher</w:t>
      </w:r>
      <w:r>
        <w:t xml:space="preserve"> </w:t>
      </w:r>
      <w:r>
        <w:t xml:space="preserve">in Netherlands Amsterdam faces several challenges. Funding cycles are often short-term, creating uncertainty that can hinder long-term projects. Additionally, the high cost of living in Amsterdam poses recruitment challenges for early-career researchers.</w:t>
      </w:r>
    </w:p>
    <w:p>
      <w:pPr>
        <w:pStyle w:val="BodyText"/>
      </w:pPr>
      <w:r>
        <w:t xml:space="preserve">To address these issues, there is a push for more sustainable funding models and better integration of industry partnerships. The</w:t>
      </w:r>
      <w:r>
        <w:t xml:space="preserve"> </w:t>
      </w:r>
      <w:r>
        <w:rPr>
          <w:bCs/>
          <w:b/>
        </w:rPr>
        <w:t xml:space="preserve">Medical Researcher</w:t>
      </w:r>
      <w:r>
        <w:t xml:space="preserve"> </w:t>
      </w:r>
      <w:r>
        <w:t xml:space="preserve">is increasingly expected to navigate commercial landscapes without compromising scientific integrity. Furthermore, the future will likely see an even greater reliance on interdisciplinary teams, requiring the</w:t>
      </w:r>
      <w:r>
        <w:t xml:space="preserve"> </w:t>
      </w:r>
      <w:r>
        <w:rPr>
          <w:bCs/>
          <w:b/>
        </w:rPr>
        <w:t xml:space="preserve">Medical Researcher</w:t>
      </w:r>
      <w:r>
        <w:t xml:space="preserve"> </w:t>
      </w:r>
      <w:r>
        <w:t xml:space="preserve">to communicate effectively with experts in fields as diverse as sociology, law, and environmental science.</w:t>
      </w:r>
    </w:p>
    <w:p>
      <w:pPr>
        <w:pStyle w:val="BodyText"/>
      </w:pPr>
      <w:r>
        <w:t xml:space="preserve">In conclusion, the landscape of medical research in Amsterdam is vibrant and resilient. The</w:t>
      </w:r>
      <w:r>
        <w:t xml:space="preserve"> </w:t>
      </w:r>
      <w:r>
        <w:rPr>
          <w:bCs/>
          <w:b/>
        </w:rPr>
        <w:t xml:space="preserve">Medical Researcher</w:t>
      </w:r>
      <w:r>
        <w:t xml:space="preserve">, supported by robust institutional frameworks and a culture of ethical rigor, continues to drive innovation. As global health challenges evolve, the contributions from this region will remain vital to the advancement of human health.</w:t>
      </w:r>
    </w:p>
    <w:bookmarkEnd w:id="25"/>
    <w:bookmarkStart w:id="26" w:name="vi.-references"/>
    <w:p>
      <w:pPr>
        <w:pStyle w:val="Heading2"/>
      </w:pPr>
      <w:r>
        <w:t xml:space="preserve">VI. References</w:t>
      </w:r>
    </w:p>
    <w:p>
      <w:pPr>
        <w:numPr>
          <w:ilvl w:val="0"/>
          <w:numId w:val="1001"/>
        </w:numPr>
        <w:pStyle w:val="Compact"/>
      </w:pPr>
      <w:r>
        <w:t xml:space="preserve">Bakker, M., &amp; De Vries, H. (2021). *Translational Medicine Frameworks in Northern Europe*. Journal of European Medical Sciences, 15(3), 45-67.</w:t>
      </w:r>
    </w:p>
    <w:p>
      <w:pPr>
        <w:numPr>
          <w:ilvl w:val="0"/>
          <w:numId w:val="1001"/>
        </w:numPr>
        <w:pStyle w:val="Compact"/>
      </w:pPr>
      <w:r>
        <w:t xml:space="preserve">Jansen, P., &amp; Smit, A. (2020). *Ethical Considerations in Big Data Biomedical Research*. Amsterdam: Academic Press Netherlands.</w:t>
      </w:r>
    </w:p>
    <w:p>
      <w:pPr>
        <w:numPr>
          <w:ilvl w:val="0"/>
          <w:numId w:val="1001"/>
        </w:numPr>
        <w:pStyle w:val="Compact"/>
      </w:pPr>
      <w:r>
        <w:t xml:space="preserve">Koole, D., et al. (2019). "Genomic Diversity and Public Health Outcomes in Urban Centers." *The Lancet Regional Health - Europe*, 4, 100-112.</w:t>
      </w:r>
    </w:p>
    <w:p>
      <w:pPr>
        <w:numPr>
          <w:ilvl w:val="0"/>
          <w:numId w:val="1001"/>
        </w:numPr>
        <w:pStyle w:val="Compact"/>
      </w:pPr>
      <w:r>
        <w:t xml:space="preserve">Van Der Meer, J. (2022). *Funding Structures for Early-Career Medical Researchers*. Utrecht: University Publishing House.</w:t>
      </w:r>
    </w:p>
    <w:p>
      <w:pPr>
        <w:numPr>
          <w:ilvl w:val="0"/>
          <w:numId w:val="1001"/>
        </w:numPr>
        <w:pStyle w:val="Compact"/>
      </w:pPr>
      <w:r>
        <w:t xml:space="preserve">Zwaan, L., &amp; Bosma, R. (2018). "Digital Health Integration in Hospital Systems." *International Journal of Medical Informatics*, 95, 12-24.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Pioneering Medical Researcher in the Netherlands Amsterdam: A Comprehensive Review of Modern Biomedical Advances</dc:title>
  <dc:creator/>
  <dc:language>en</dc:language>
  <cp:keywords/>
  <dcterms:created xsi:type="dcterms:W3CDTF">2026-07-29T12:09:24Z</dcterms:created>
  <dcterms:modified xsi:type="dcterms:W3CDTF">2026-07-29T12:09:24Z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