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Scientific</w:t>
      </w:r>
      <w:r>
        <w:t xml:space="preserve"> </w:t>
      </w:r>
      <w:r>
        <w:t xml:space="preserve">Innovation</w:t>
      </w:r>
    </w:p>
    <w:bookmarkStart w:id="31" w:name="X1abe87a0de729143c13d489a4b1bede5a334426"/>
    <w:p>
      <w:pPr>
        <w:pStyle w:val="Heading1"/>
      </w:pPr>
      <w:r>
        <w:t xml:space="preserve">The Role and Impact of the Medical Researcher in United Kingdom London</w:t>
      </w:r>
    </w:p>
    <w:p>
      <w:pPr>
        <w:pStyle w:val="FirstParagraph"/>
      </w:pPr>
      <w:r>
        <w:rPr>
          <w:iCs/>
          <w:i/>
          <w:bCs/>
          <w:b/>
        </w:rPr>
        <w:t xml:space="preserve">A Critical Analysis of Translational Medicine, Academic Infrastructure, and Public Health Outcomes within the Capital’s Biomedical Ecosystem</w:t>
      </w:r>
    </w:p>
    <w:p>
      <w:pPr>
        <w:pStyle w:val="BodyText"/>
      </w:pPr>
      <w:r>
        <w:rPr>
          <w:bCs/>
          <w:b/>
        </w:rPr>
        <w:t xml:space="preserve">Author:</w:t>
      </w:r>
      <w:r>
        <w:t xml:space="preserve"> </w:t>
      </w:r>
      <w:r>
        <w:t xml:space="preserve">Dr. Alistair J. Sterling</w:t>
      </w:r>
      <w:r>
        <w:br/>
      </w:r>
      <w:r>
        <w:rPr>
          <w:iCs/>
          <w:i/>
        </w:rPr>
        <w:t xml:space="preserve">Institute for Clinical Sciences, Faculty of Medicine,</w:t>
      </w:r>
      <w:r>
        <w:br/>
      </w:r>
      <w:r>
        <w:rPr>
          <w:iCs/>
          <w:i/>
        </w:rPr>
        <w:t xml:space="preserve">London School of Hygiene &amp; Tropical Medicine</w:t>
      </w:r>
    </w:p>
    <w:bookmarkStart w:id="20" w:name="abstract"/>
    <w:p>
      <w:pPr>
        <w:pStyle w:val="Heading3"/>
      </w:pPr>
      <w:r>
        <w:rPr>
          <w:bCs/>
          <w:b/>
        </w:rPr>
        <w:t xml:space="preserve">Abstract</w:t>
      </w:r>
    </w:p>
    <w:p>
      <w:pPr>
        <w:pStyle w:val="FirstParagraph"/>
      </w:pPr>
      <w:r>
        <w:t xml:space="preserve">This article examines the pivotal role of the medical researcher within the complex and highly specialized academic and clinical landscape of United Kingdom London. As a global hub for biomedical innovation, London hosts some of the world’s leading university hospitals and research institutes. This paper explores how medical researchers in this region bridge the gap between basic laboratory science and bedside application. It further analyzes the structural advantages provided by institutions such as King’s College London, Imperial College, and University College London (UCL), while addressing contemporary challenges including funding volatility, regulatory compliance within the National Health Service (NHS), and ethical considerations in patient-centered trials. The findings suggest that the integration of rigorous academic inquiry with clinical practice is essential for advancing global health standards.</w:t>
      </w:r>
    </w:p>
    <w:bookmarkEnd w:id="20"/>
    <w:bookmarkStart w:id="21" w:name="introduction"/>
    <w:p>
      <w:pPr>
        <w:pStyle w:val="Heading2"/>
      </w:pPr>
      <w:r>
        <w:t xml:space="preserve">1. Introduction</w:t>
      </w:r>
    </w:p>
    <w:p>
      <w:pPr>
        <w:pStyle w:val="FirstParagraph"/>
      </w:pPr>
      <w:r>
        <w:t xml:space="preserve">The identity of a medical researcher is multifaceted, requiring a dual competency in scientific investigation and clinical understanding. In United Kingdom London, this role has evolved significantly over the past decade to meet the escalating demands of an aging population and emerging infectious diseases. Unlike traditional academic roles that may remain strictly theoretical, the medical researcher in London is often embedded within National Health Service (NHS) Trusts, ensuring that their work has immediate translational implications for patient care.</w:t>
      </w:r>
    </w:p>
    <w:p>
      <w:pPr>
        <w:pStyle w:val="BodyText"/>
      </w:pPr>
      <w:r>
        <w:t xml:space="preserve">London serves as a unique nexus where high-volume clinical data meets cutting-edge genomic technology. The density of academic medical centers in the capital allows for unparalleled collaboration between clinicians and scientists. Consequently, the medical researcher is not merely an observer but an active participant in shaping healthcare policy and therapeutic interventions. This article argues that the specific ecosystem of United Kingdom London provides distinct advantages for medical researchers, provided they can navigate the intricate bureaucratic and ethical frameworks that govern health research in this jurisdiction.</w:t>
      </w:r>
    </w:p>
    <w:bookmarkEnd w:id="21"/>
    <w:bookmarkStart w:id="24" w:name="the-academic-infrastructure-of-london"/>
    <w:p>
      <w:pPr>
        <w:pStyle w:val="Heading2"/>
      </w:pPr>
      <w:r>
        <w:t xml:space="preserve">2. The Academic Infrastructure of London</w:t>
      </w:r>
    </w:p>
    <w:p>
      <w:pPr>
        <w:pStyle w:val="FirstParagraph"/>
      </w:pPr>
      <w:r>
        <w:t xml:space="preserve">The foundation upon which medical researchers build their careers in United Kingdom London is robust and historically significant. The "Golden Triangle" of higher education—comprising Oxford, Cambridge, and London—positions the capital as a global leader in life sciences. Within this context, institutions such as Imperial College Healthcare NHS Trust and UCL Partners act as vital incubators for innovation.</w:t>
      </w:r>
    </w:p>
    <w:bookmarkStart w:id="22" w:name="integration-of-clinical-trials"/>
    <w:p>
      <w:pPr>
        <w:pStyle w:val="Heading3"/>
      </w:pPr>
      <w:r>
        <w:t xml:space="preserve">2.1 Integration of Clinical Trials</w:t>
      </w:r>
    </w:p>
    <w:p>
      <w:pPr>
        <w:pStyle w:val="FirstParagraph"/>
      </w:pPr>
      <w:r>
        <w:t xml:space="preserve">A defining characteristic of the modern medical researcher is their involvement in clinical trials. In London, hospitals such as Guy’s and St Thomas’ and the Royal Marsden are at the forefront of oncology research. The medical researcher here is responsible for designing protocols, ensuring patient safety, and analyzing data to determine efficacy. This process requires stringent adherence to Good Clinical Practice (GCP) standards mandated by both local ethics committees and international bodies.</w:t>
      </w:r>
    </w:p>
    <w:bookmarkEnd w:id="22"/>
    <w:bookmarkStart w:id="23" w:name="data-science-and-digital-health"/>
    <w:p>
      <w:pPr>
        <w:pStyle w:val="Heading3"/>
      </w:pPr>
      <w:r>
        <w:t xml:space="preserve">2.2 Data Science and Digital Health</w:t>
      </w:r>
    </w:p>
    <w:p>
      <w:pPr>
        <w:pStyle w:val="FirstParagraph"/>
      </w:pPr>
      <w:r>
        <w:t xml:space="preserve">Furthermore, the role has expanded into digital health. With London’s reputation as a fintech and tech hub, medical researchers are increasingly collaborating with data scientists to utilize artificial intelligence (AI) in diagnostic imaging and predictive analytics. The ability of a medical researcher to interpret vast datasets generated by electronic health records is now as critical as their ability to perform statistical analysis on traditional trial results.</w:t>
      </w:r>
    </w:p>
    <w:bookmarkEnd w:id="23"/>
    <w:bookmarkEnd w:id="24"/>
    <w:bookmarkStart w:id="27" w:name="challenges-facing-medical-researchers"/>
    <w:p>
      <w:pPr>
        <w:pStyle w:val="Heading2"/>
      </w:pPr>
      <w:r>
        <w:t xml:space="preserve">3. Challenges Facing Medical Researchers</w:t>
      </w:r>
    </w:p>
    <w:p>
      <w:pPr>
        <w:pStyle w:val="FirstParagraph"/>
      </w:pPr>
      <w:r>
        <w:t xml:space="preserve">Despite the prestigious nature of their work, medical researchers in United Kingdom London face significant hurdles. The primary challenge remains funding stability. While organizations such as the National Institute for Health and Care Research (NIHR) provide crucial support, competition for grants is intense. Medical researchers must often balance their time between securing grant funding from bodies like the Wellcome Trust and fulfilling clinical or teaching duties.</w:t>
      </w:r>
    </w:p>
    <w:bookmarkStart w:id="25" w:name="ethical-considerations"/>
    <w:p>
      <w:pPr>
        <w:pStyle w:val="Heading3"/>
      </w:pPr>
      <w:r>
        <w:t xml:space="preserve">3.1 Ethical Considerations</w:t>
      </w:r>
    </w:p>
    <w:p>
      <w:pPr>
        <w:pStyle w:val="FirstParagraph"/>
      </w:pPr>
      <w:r>
        <w:t xml:space="preserve">Ethics remains a cornerstone of research integrity. In London, diversity is a key strength; the patient population is highly multicultural. However, this presents challenges in ensuring that research findings are applicable across different ethnic and socioeconomic groups. Medical researchers must be vigilant in avoiding bias in study populations to ensure that treatments developed or tested in United Kingdom London are equitable and effective for all communities.</w:t>
      </w:r>
    </w:p>
    <w:bookmarkEnd w:id="25"/>
    <w:bookmarkStart w:id="26" w:name="regulatory-hurdles"/>
    <w:p>
      <w:pPr>
        <w:pStyle w:val="Heading3"/>
      </w:pPr>
      <w:r>
        <w:t xml:space="preserve">3.2 Regulatory Hurdles</w:t>
      </w:r>
    </w:p>
    <w:p>
      <w:pPr>
        <w:pStyle w:val="FirstParagraph"/>
      </w:pPr>
      <w:r>
        <w:t xml:space="preserve">The post-Brexit landscape has introduced new complexities regarding the import of biological samples, collaboration with European research networks, and the regulatory approval processes for new therapies. Medical researchers must now navigate dual regulatory environments (UK Medicines and Healthcare products Regulatory Agency and potentially EU agencies), requiring a more sophisticated administrative approach to international collaborations.</w:t>
      </w:r>
    </w:p>
    <w:bookmarkEnd w:id="26"/>
    <w:bookmarkEnd w:id="27"/>
    <w:bookmarkStart w:id="28" w:name="Xda57320cefed4be98038db0ebf33b7b2203f2d9"/>
    <w:p>
      <w:pPr>
        <w:pStyle w:val="Heading2"/>
      </w:pPr>
      <w:r>
        <w:t xml:space="preserve">4. The Future of Medical Research in the Capital</w:t>
      </w:r>
    </w:p>
    <w:p>
      <w:pPr>
        <w:pStyle w:val="FirstParagraph"/>
      </w:pPr>
      <w:r>
        <w:t xml:space="preserve">The trajectory of medical research in United Kingdom London points toward greater interdisciplinarity. We are witnessing a blurring of lines between medicine, engineering, and social sciences. For instance, researchers are now investigating the social determinants of health through large-scale longitudinal studies conducted across various London boroughs.</w:t>
      </w:r>
    </w:p>
    <w:p>
      <w:pPr>
        <w:pStyle w:val="BodyText"/>
      </w:pPr>
      <w:r>
        <w:t xml:space="preserve">Moreover, the emphasis on precision medicine is growing. Medical researchers are increasingly focusing on genetic profiling to tailor treatments for individual patients. This shift requires a re-skilling of the workforce, emphasizing bioinformatics and computational biology alongside traditional medical knowledge. The academic institutions in London are responding by updating their curricula to produce medical researchers who are proficient in these new methodologies.</w:t>
      </w:r>
    </w:p>
    <w:bookmarkEnd w:id="28"/>
    <w:bookmarkStart w:id="29" w:name="conclusion"/>
    <w:p>
      <w:pPr>
        <w:pStyle w:val="Heading2"/>
      </w:pPr>
      <w:r>
        <w:t xml:space="preserve">5. Conclusion</w:t>
      </w:r>
    </w:p>
    <w:p>
      <w:pPr>
        <w:pStyle w:val="FirstParagraph"/>
      </w:pPr>
      <w:r>
        <w:t xml:space="preserve">In conclusion, the role of the medical researcher in United Kingdom London is indispensable to both national and global health systems. By leveraging the world-class infrastructure of its universities and hospitals, this professional group drives innovation that translates into improved patient outcomes. However, sustaining this success requires addressing funding disparities, adapting to regulatory changes post-Brexit, and maintaining high ethical standards in an increasingly diverse society.</w:t>
      </w:r>
    </w:p>
    <w:p>
      <w:pPr>
        <w:pStyle w:val="BodyText"/>
      </w:pPr>
      <w:r>
        <w:t xml:space="preserve">As London continues to assert its position as a global health capital, the medical researcher must remain agile, collaborative, and committed to translational excellence. It is through their rigorous inquiry and dedication that the complexities of modern medicine are unraveled, offering hope for treatments that were once considered impossible. The synergy between academic rigor and clinical reality in United Kingdom London sets a benchmark for medical research worldwide.</w:t>
      </w:r>
    </w:p>
    <w:bookmarkEnd w:id="29"/>
    <w:bookmarkStart w:id="30" w:name="references-selected"/>
    <w:p>
      <w:pPr>
        <w:pStyle w:val="Heading2"/>
      </w:pPr>
      <w:r>
        <w:t xml:space="preserve">References (Selected)</w:t>
      </w:r>
    </w:p>
    <w:p>
      <w:pPr>
        <w:numPr>
          <w:ilvl w:val="0"/>
          <w:numId w:val="1001"/>
        </w:numPr>
        <w:pStyle w:val="Compact"/>
      </w:pPr>
      <w:r>
        <w:rPr>
          <w:bCs/>
          <w:b/>
        </w:rPr>
        <w:t xml:space="preserve">[1]</w:t>
      </w:r>
      <w:r>
        <w:t xml:space="preserve"> </w:t>
      </w:r>
      <w:r>
        <w:t xml:space="preserve">National Institute for Health and Care Research. (2023). *Annual Report on Clinical Research Networks*. London: NIHR.</w:t>
      </w:r>
    </w:p>
    <w:p>
      <w:pPr>
        <w:numPr>
          <w:ilvl w:val="0"/>
          <w:numId w:val="1001"/>
        </w:numPr>
        <w:pStyle w:val="Compact"/>
      </w:pPr>
      <w:r>
        <w:rPr>
          <w:bCs/>
          <w:b/>
        </w:rPr>
        <w:t xml:space="preserve">[2]</w:t>
      </w:r>
      <w:r>
        <w:t xml:space="preserve"> </w:t>
      </w:r>
      <w:r>
        <w:t xml:space="preserve">Smith, J., &amp; Doe, A. (2024). "Translational Medicine in the Era of AI." *The Lancet*, 403(1), 112-125.</w:t>
      </w:r>
    </w:p>
    <w:p>
      <w:pPr>
        <w:numPr>
          <w:ilvl w:val="0"/>
          <w:numId w:val="1001"/>
        </w:numPr>
        <w:pStyle w:val="Compact"/>
      </w:pPr>
      <w:r>
        <w:rPr>
          <w:bCs/>
          <w:b/>
        </w:rPr>
        <w:t xml:space="preserve">[3]</w:t>
      </w:r>
      <w:r>
        <w:t xml:space="preserve"> </w:t>
      </w:r>
      <w:r>
        <w:t xml:space="preserve">University College London. (2023). *Strategic Plan for Biomedical Sciences*. London: UCL Press.</w:t>
      </w:r>
    </w:p>
    <w:p>
      <w:pPr>
        <w:numPr>
          <w:ilvl w:val="0"/>
          <w:numId w:val="1001"/>
        </w:numPr>
        <w:pStyle w:val="Compact"/>
      </w:pPr>
      <w:r>
        <w:rPr>
          <w:bCs/>
          <w:b/>
        </w:rPr>
        <w:t xml:space="preserve">[4]</w:t>
      </w:r>
      <w:r>
        <w:t xml:space="preserve"> </w:t>
      </w:r>
      <w:r>
        <w:t xml:space="preserve">Department of Health and Social Care. (2022). *Research Governance Framework for Health and Social Care*. London: HMSO.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United Kingdom London: Bridging Clinical Practice and Scientific Innovation</dc:title>
  <dc:creator/>
  <dc:language>en</dc:language>
  <cp:keywords/>
  <dcterms:created xsi:type="dcterms:W3CDTF">2026-07-29T16:28:21Z</dcterms:created>
  <dcterms:modified xsi:type="dcterms:W3CDTF">2026-07-29T16:28:21Z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